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Liberation Serif" w:hAnsi="Liberation Serif" w:eastAsia="Liberation Serif"/>
          <w:sz w:val="24"/>
          <w:szCs w:val="24"/>
        </w:rPr>
      </w:pPr>
      <w:r>
        <w:rPr>
          <w:rFonts w:eastAsia="Liberation Serif"/>
          <w:sz w:val="24"/>
          <w:szCs w:val="24"/>
        </w:rPr>
        <w:t>manuscript_snippets</w:t>
      </w:r>
    </w:p>
    <w:p>
      <w:pPr>
        <w:pStyle w:val="Normal"/>
        <w:bidi w:val="0"/>
        <w:spacing w:lineRule="auto" w:line="480"/>
        <w:jc w:val="start"/>
        <w:rPr>
          <w:rFonts w:ascii="Liberation Serif" w:hAnsi="Liberation Serif" w:eastAsia="Liberation Serif"/>
          <w:sz w:val="24"/>
          <w:szCs w:val="24"/>
        </w:rPr>
      </w:pPr>
      <w:r>
        <w:rPr>
          <w:rFonts w:eastAsia="Liberation Serif"/>
          <w:sz w:val="24"/>
          <w:szCs w:val="24"/>
        </w:rPr>
      </w:r>
    </w:p>
    <w:p>
      <w:pPr>
        <w:pStyle w:val="Normal"/>
        <w:bidi w:val="0"/>
        <w:spacing w:lineRule="auto" w:line="480"/>
        <w:jc w:val="start"/>
        <w:rPr>
          <w:shd w:fill="FFFF00" w:val="clear"/>
        </w:rPr>
      </w:pPr>
      <w:r>
        <w:rPr>
          <w:rFonts w:eastAsia="Liberation Serif"/>
          <w:sz w:val="24"/>
          <w:szCs w:val="24"/>
          <w:shd w:fill="auto" w:val="clear"/>
        </w:rPr>
        <w:t xml:space="preserve">&lt;possibly delete&gt;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rFonts w:eastAsia="Liberation Serif"/>
          <w:sz w:val="24"/>
          <w:szCs w:val="24"/>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rFonts w:eastAsia="Liberation Serif"/>
          <w:sz w:val="24"/>
          <w:szCs w:val="24"/>
          <w:shd w:fill="auto" w:val="clear"/>
        </w:rPr>
      </w:r>
      <w:r>
        <w:rPr>
          <w:rFonts w:eastAsia="Liberation Serif"/>
          <w:sz w:val="24"/>
          <w:szCs w:val="24"/>
          <w:shd w:fill="auto" w:val="clear"/>
        </w:rPr>
        <w:fldChar w:fldCharType="separate"/>
      </w:r>
      <w:r>
        <w:rPr>
          <w:rFonts w:eastAsia="Liberation Serif"/>
          <w:sz w:val="24"/>
          <w:szCs w:val="24"/>
          <w:shd w:fill="auto" w:val="clear"/>
        </w:rPr>
      </w:r>
      <w:r>
        <w:rPr>
          <w:rFonts w:eastAsia="Liberation Serif"/>
          <w:sz w:val="24"/>
          <w:szCs w:val="24"/>
          <w:shd w:fill="auto" w:val="clear"/>
        </w:rPr>
        <w:t>(Liu et al. 2023)</w:t>
      </w:r>
      <w:r>
        <w:rPr>
          <w:rFonts w:eastAsia="Liberation Serif"/>
          <w:sz w:val="24"/>
          <w:szCs w:val="24"/>
          <w:shd w:fill="auto" w:val="clear"/>
        </w:rPr>
      </w:r>
      <w:r>
        <w:rPr>
          <w:rFonts w:eastAsia="Liberation Serif"/>
          <w:sz w:val="24"/>
          <w:szCs w:val="24"/>
          <w:shd w:fill="auto" w:val="clear"/>
        </w:rPr>
        <w:fldChar w:fldCharType="end"/>
      </w:r>
      <w:r>
        <w:rPr>
          <w:rFonts w:eastAsia="Liberation Serif"/>
          <w:sz w:val="24"/>
          <w:szCs w:val="24"/>
          <w:shd w:fill="auto" w:val="clear"/>
        </w:rPr>
        <w:t>. In addition, mSigHdp infers a posterior distribution of the number of signatures present in a data set, while by contrast, NMF based approaches sometimes struggle with determining the number of signatures present</w:t>
      </w:r>
      <w:r>
        <w:rPr>
          <w:rFonts w:eastAsia="Liberation Serif" w:hint="eastAsia"/>
          <w:sz w:val="24"/>
          <w:szCs w:val="24"/>
          <w:shd w:fill="auto" w:val="clear"/>
        </w:rPr>
        <w:t xml:space="preserve"> (more details in Discussion </w:t>
      </w:r>
      <w:r>
        <w:rPr>
          <w:rFonts w:eastAsia="Liberation Serif" w:hint="eastAsia"/>
          <w:sz w:val="24"/>
          <w:szCs w:val="24"/>
          <w:shd w:fill="FFFF00" w:val="clear"/>
        </w:rPr>
        <w:t>&lt;check&gt;</w:t>
      </w:r>
      <w:r>
        <w:rPr>
          <w:rFonts w:eastAsia="Liberation Serif" w:hint="eastAsia"/>
          <w:sz w:val="24"/>
          <w:szCs w:val="24"/>
          <w:shd w:fill="auto" w:val="clear"/>
        </w:rPr>
        <w:t>).</w:t>
      </w:r>
      <w:r>
        <w:rPr>
          <w:rFonts w:eastAsia="Liberation Serif"/>
          <w:sz w:val="24"/>
          <w:szCs w:val="24"/>
          <w:shd w:fill="FFFF00" w:val="clear"/>
        </w:rPr>
        <w:t xml:space="preserve"> </w:t>
      </w:r>
    </w:p>
    <w:p>
      <w:pPr>
        <w:pStyle w:val="Normal"/>
        <w:bidi w:val="0"/>
        <w:spacing w:lineRule="auto" w:line="480"/>
        <w:jc w:val="start"/>
        <w:rPr>
          <w:shd w:fill="FFFF00" w:val="clear"/>
        </w:rPr>
      </w:pPr>
      <w:r>
        <w:rPr>
          <w:shd w:fill="FFFF00" w:val="clear"/>
        </w:rPr>
      </w:r>
    </w:p>
    <w:p>
      <w:pPr>
        <w:pStyle w:val="Normal"/>
        <w:bidi w:val="0"/>
        <w:spacing w:lineRule="auto" w:line="480"/>
        <w:jc w:val="start"/>
        <w:rPr>
          <w:shd w:fill="FFFF00" w:val="clear"/>
        </w:rPr>
      </w:pPr>
      <w:r>
        <w:rPr>
          <w:rFonts w:eastAsia="Liberation Serif"/>
          <w:sz w:val="24"/>
          <w:szCs w:val="24"/>
          <w:shd w:fill="FFFF00" w:val="clear"/>
        </w:rPr>
        <w:t>SAVE FOR ELSEWHERE OR DISCARD Experimental validation in a cells with deficient  ribonucleotide excision repair showed that transcription-associated mutagenesis by topoisomerase 1 at sites of ribonucleotides incorporated in genomic DNA generates previously unreported i</w:t>
      </w:r>
      <w:r>
        <w:rPr>
          <w:rFonts w:eastAsia="Liberation Serif" w:hint="eastAsia"/>
          <w:sz w:val="24"/>
          <w:szCs w:val="24"/>
          <w:shd w:fill="FFFF00" w:val="clear"/>
        </w:rPr>
        <w:t>ndel</w:t>
      </w:r>
      <w:r>
        <w:rPr>
          <w:rFonts w:eastAsia="Liberation Serif"/>
          <w:sz w:val="24"/>
          <w:szCs w:val="24"/>
          <w:shd w:fill="FFFF00" w:val="clear"/>
        </w:rPr>
        <w:t xml:space="preserve"> signatures that we identified independently in both indel classification systems </w:t>
      </w:r>
      <w:r>
        <w:fldChar w:fldCharType="begin"/>
      </w:r>
      <w:r>
        <w:rPr>
          <w:rFonts w:eastAsia="Liberation Serif"/>
          <w:sz w:val="24"/>
          <w:szCs w:val="24"/>
          <w:shd w:fill="FFFF00" w:val="clear"/>
        </w:rPr>
        <w:instrText xml:space="preserve">ADDIN ZOTERO_ITEM CSL_CITATION {"citationID":"MFFBVSS7","properties":{"formattedCitation":"(Cho et al. 2013; Takahashi et al. 2011; Lippert et al. 2011)","plainCitation":"(Cho et al. 2013; Takahashi et al. 2011; Lippert et al. 2011)","noteIndex":0},"citationItems":[{"id":"LB8OR9DJ/ukQFUg47","uris":["http://zotero.org/users/14858941/items/KPLSC8FP"],"itemData":{"id":923,"type":"article-journal","abstract":"Topoisomerase 1 (Top1) resolves transcription-associated supercoils by generating transient singlestrand breaks in DNA. Top1 activity in yeast is a major source of transcription-associated mutagenesis, generating a distinctive mutation signature characterized by deletions in short, tandem repeats. A similar signature is associated with the persistence of ribonucleoside monophosphates (rNMPs) in DNA, and it also depends on Top1 activity. There is only partial overlap, however, between Top1-dependent deletion hotspots identiﬁed in highly transcribed DNA and those associated with rNMPs, suggesting the existence of both rNMP-dependent and rNMP-independent events. Here, we present genetic studies conﬁrming that there are two distinct types of hotspots. Data suggest a novel model in which rNMP-dependent hotspots are generated by sequential Top1 reactions and are consistent with rNMP-independent hotspots reﬂecting processing of a trapped Top1 cleavage complex.","container-title":"DNA Repair","DOI":"10.1016/j.dnarep.2012.12.004","ISSN":"1568-7864","issue":"3","language":"en","license":"https://www.elsevier.com/tdm/userlicense/1.0/","note":"publisher: Elsevier BV","page":"205-211","source":"Crossref","title":"Two distinct mechanisms of Topoisomerase 1-dependent mutagenesis in yeast","volume":"12","author":[{"family":"Cho","given":"Jang-Eun"},{"family":"Kim","given":"Nayun"},{"family":"Li","given":"Yue C."},{"family":"Jinks-Robertson","given":"Sue"}],"issued":{"date-parts":[["2013",3]]}}},{"id":"LB8OR9DJ/HtA2qzeP","uris":["http://zotero.org/users/14858941/items/GHSS5QE7"],"itemData":{"id":924,"type":"article-journal","abstract":"High transcription is associated with genetic instability, notably increased spontaneous mutation rates, which is a phenomenon termed Transcription-Associated-Mutagenesis (TAM). In this study, we investigated TAM using the chromosomal            CAN1            gene under the transcriptional control of two strong and inducible promoters (            pGAL1            and            pTET            ) in            Saccharomyces cerevisiae            . Both            pTET            - and            pGAL1            -driven high transcription at the            CAN1            gene result in enhanced spontaneous mutation rates. Comparison of both promoters reveals differences in the type of mutagenesis, except for short (−2 and −3 nt) deletions, which depend only on the level of transcription. This mutation type, characteristic of TAM, is sequence dependent, occurring prefentially at di- and trinucleotides repeats, notably at two mutational hotspots encompassing the same 5′-ACATAT-3′ sequence. To explore the mechanisms underlying the formation of short deletions in the course of TAM, we have determined Can            R            mutation spectra in yeast mutants affected in DNA metabolism. We identified topoisomerase 1-deficient strains (            top1            Δ) that specifically abolish the formation of short deletions under high transcription. The rate of the formation of (−2/−3nt) deletions is also reduced in the absence of            RAD1            and            MUS81            genes, involved in the repair of Top1p–DNA covalent complex. Furthermore ChIP analysis reveals an enrichment of trapped Top1p in the            CAN1            ORF under high transcription. We propose a model, in which the repair of trapped Top1p–DNA complexes provokes the formation of short deletion in            S. cerevisiae            . This study reveals unavoidable conflicts between Top1p and the transcriptional machinery and their potential impact on genome stability.","container-title":"Proceedings of the National Academy of Sciences","DOI":"10.1073/pnas.1012582108","ISSN":"0027-8424, 1091-6490","issue":"2","journalAbbreviation":"Proc. Natl. Acad. Sci. U.S.A.","language":"en","note":"publisher: Proceedings of the National Academy of Sciences","page":"692-697","source":"Crossref","title":"Topoisomerase 1 provokes the formation of short deletions in repeated sequences upon high transcription in            &lt;i&gt;Saccharomyces cerevisiae&lt;/i&gt;","volume":"108","author":[{"family":"Takahashi","given":"Diane T."},{"family":"Burguiere-Slezak","given":"Guenaelle"},{"family":"Van Der Kemp","given":"Patricia Auffret"},{"family":"Boiteux","given":"Serge"}],"issued":{"date-parts":[["2011",1,11]]}}},{"id":"LB8OR9DJ/W5BD7eUC","uris":["http://zotero.org/users/14858941/items/LUMLXEKM"],"itemData":{"id":922,"type":"article-journal","abstract":"High levels of transcription in            Saccharomyces cerevisiae            are associated with increased genetic instability, which has been linked to DNA damage. Here, we describe a            pGAL-CAN1            forward mutation assay for studying transcription-associated mutagenesis (TAM) in yeast. In a wild-type background with no alterations in DNA repair capacity, ≈50% of forward mutations that arise in the            CAN1            gene under high-transcription conditions are deletions of 2–5 bp. Furthermore, the deletions characteristic of TAM localize to discrete hotspots that coincide with 2–4 copies of a tandem repeat. Although the signature deletions of TAM are not affected by the loss of error-free or error-prone lesion bypass pathways, they are completely eliminated by deletion of the            TOP1            gene, which encodes the yeast type IB topoisomerase. Hotspots can be transposed into the context of a frameshift reversion assay, which is sensitive enough to detect Top1-dependent deletions even in the absence of high transcription. We suggest that the accumulation of Top1 cleavage complexes is related to the level of transcription and that their removal leads to the signature deletions. Given the high degree of conservation between DNA metabolic processes, the links established here among transcription, Top1, and mutagenesis are likely to extend beyond the yeast system.","container-title":"Proceedings of the National Academy of Sciences","DOI":"10.1073/pnas.1012363108","ISSN":"0027-8424, 1091-6490","issue":"2","journalAbbreviation":"Proc. Natl. Acad. Sci. U.S.A.","language":"en","note":"publisher: Proceedings of the National Academy of Sciences","page":"698-703","source":"Crossref","title":"Role for topoisomerase 1 in transcription-associated mutagenesis in yeast","volume":"108","author":[{"family":"Lippert","given":"Malcolm J."},{"family":"Kim","given":"Nayun"},{"family":"Cho","given":"Jang-Eun"},{"family":"Larson","given":"Ryan P."},{"family":"Schoenly","given":"Nathan E."},{"family":"O'Shea","given":"Shannon H."},{"family":"Jinks-Robertson","given":"Sue"}],"issued":{"date-parts":[["2011",1,11]]}}}],"schema":"https://github.com/citation-style-language/schema/raw/master/csl-citation.json"}</w:instrText>
      </w:r>
      <w:r>
        <w:rPr>
          <w:rFonts w:eastAsia="Liberation Serif"/>
          <w:sz w:val="24"/>
          <w:szCs w:val="24"/>
          <w:shd w:fill="FFFF00" w:val="clear"/>
        </w:rPr>
      </w:r>
      <w:r>
        <w:rPr>
          <w:rFonts w:eastAsia="Liberation Serif"/>
          <w:sz w:val="24"/>
          <w:szCs w:val="24"/>
          <w:shd w:fill="FFFF00" w:val="clear"/>
        </w:rPr>
        <w:fldChar w:fldCharType="separate"/>
      </w:r>
      <w:r>
        <w:rPr>
          <w:rFonts w:eastAsia="Liberation Serif"/>
          <w:sz w:val="24"/>
          <w:szCs w:val="24"/>
          <w:shd w:fill="FFFF00" w:val="clear"/>
        </w:rPr>
        <w:t>(Cho et al. 2013; Takahashi et al. 2011; Lippert et al. 2011)</w:t>
      </w:r>
      <w:r>
        <w:rPr>
          <w:rFonts w:eastAsia="Liberation Serif"/>
          <w:sz w:val="24"/>
          <w:szCs w:val="24"/>
          <w:shd w:fill="FFFF00" w:val="clear"/>
        </w:rPr>
      </w:r>
      <w:r>
        <w:rPr>
          <w:rFonts w:eastAsia="Liberation Serif"/>
          <w:sz w:val="24"/>
          <w:szCs w:val="24"/>
          <w:shd w:fill="FFFF00" w:val="clear"/>
        </w:rPr>
        <w:fldChar w:fldCharType="end"/>
      </w:r>
      <w:r>
        <w:rPr>
          <w:rFonts w:eastAsia="Liberation Serif"/>
          <w:sz w:val="24"/>
          <w:szCs w:val="24"/>
          <w:shd w:fill="FFFF00" w:val="clear"/>
        </w:rPr>
        <w:t xml:space="preserve"> Additionally, four novel signatures from both indel classifications systems occurred predominantly in the HMF dataset, due to its larger representation of tumors with microsatellite instability (MSI). </w:t>
      </w:r>
    </w:p>
    <w:p>
      <w:pPr>
        <w:pStyle w:val="Normal"/>
        <w:bidi w:val="0"/>
        <w:spacing w:lineRule="auto" w:line="480"/>
        <w:jc w:val="start"/>
        <w:rPr>
          <w:rFonts w:ascii="Liberation Serif" w:hAnsi="Liberation Serif" w:eastAsia="Liberation Serif"/>
          <w:sz w:val="24"/>
          <w:szCs w:val="24"/>
        </w:rPr>
      </w:pPr>
      <w:r>
        <w:rPr>
          <w:rFonts w:eastAsia="Liberation Serif"/>
          <w:sz w:val="24"/>
          <w:szCs w:val="24"/>
        </w:rPr>
      </w:r>
    </w:p>
    <w:p>
      <w:pPr>
        <w:pStyle w:val="Normal"/>
        <w:bidi w:val="0"/>
        <w:spacing w:lineRule="auto" w:line="480"/>
        <w:jc w:val="start"/>
        <w:rPr>
          <w:rFonts w:ascii="Liberation Serif" w:hAnsi="Liberation Serif" w:eastAsia="Liberation Serif"/>
          <w:sz w:val="24"/>
          <w:szCs w:val="24"/>
        </w:rPr>
      </w:pPr>
      <w:r>
        <w:rPr>
          <w:rFonts w:eastAsia="Liberation Serif"/>
          <w:sz w:val="24"/>
          <w:szCs w:val="24"/>
          <w:shd w:fill="FFFF00" w:val="clear"/>
        </w:rPr>
        <w:t xml:space="preserve">&lt;cannibalize for results&gt; </w:t>
      </w:r>
      <w:r>
        <w:rPr>
          <w:rFonts w:eastAsia="Liberation Serif"/>
          <w:sz w:val="24"/>
          <w:szCs w:val="24"/>
        </w:rPr>
        <w:t>To systematically compare the two signature catalogs, we developed and applied a new pipeline to match C</w:t>
      </w:r>
      <w:r>
        <w:rPr>
          <w:rFonts w:eastAsia="Liberation Serif" w:hint="eastAsia"/>
          <w:sz w:val="24"/>
          <w:szCs w:val="24"/>
        </w:rPr>
        <w:t>OSMI</w:t>
      </w:r>
      <w:r>
        <w:rPr>
          <w:rFonts w:eastAsia="Liberation Serif"/>
          <w:sz w:val="24"/>
          <w:szCs w:val="24"/>
        </w:rPr>
        <w:t>C83 and K</w:t>
      </w:r>
      <w:r>
        <w:rPr>
          <w:rFonts w:eastAsia="Liberation Serif" w:hint="eastAsia"/>
          <w:sz w:val="24"/>
          <w:szCs w:val="24"/>
        </w:rPr>
        <w:t>oh89</w:t>
      </w:r>
      <w:r>
        <w:rPr>
          <w:rFonts w:eastAsia="Liberation Serif"/>
          <w:sz w:val="24"/>
          <w:szCs w:val="24"/>
        </w:rPr>
        <w:t xml:space="preserve"> signatures based on tumor samples with high signature proportions</w:t>
      </w:r>
      <w:r>
        <w:rPr>
          <w:rFonts w:eastAsia="Liberation Serif" w:hint="eastAsia"/>
          <w:sz w:val="24"/>
          <w:szCs w:val="24"/>
        </w:rPr>
        <w:t xml:space="preserve"> and cosine similarities</w:t>
      </w:r>
      <w:r>
        <w:rPr>
          <w:rFonts w:eastAsia="Liberation Serif"/>
          <w:sz w:val="24"/>
          <w:szCs w:val="24"/>
        </w:rPr>
        <w:t>. We further profiled the replication timing, asymmetry</w:t>
      </w:r>
      <w:r>
        <w:rPr>
          <w:rFonts w:eastAsia="Liberation Serif" w:hint="eastAsia"/>
          <w:sz w:val="24"/>
          <w:szCs w:val="24"/>
        </w:rPr>
        <w:t xml:space="preserve"> between genic and intergenic regions and </w:t>
      </w:r>
      <w:r>
        <w:rPr>
          <w:rFonts w:eastAsia="Liberation Serif"/>
          <w:sz w:val="24"/>
          <w:szCs w:val="24"/>
        </w:rPr>
        <w:t>asymmetry</w:t>
      </w:r>
      <w:r>
        <w:rPr>
          <w:rFonts w:eastAsia="Liberation Serif" w:hint="eastAsia"/>
          <w:sz w:val="24"/>
          <w:szCs w:val="24"/>
        </w:rPr>
        <w:t xml:space="preserve"> between leading and lagging </w:t>
      </w:r>
      <w:r>
        <w:rPr>
          <w:rFonts w:eastAsia="Liberation Serif"/>
          <w:sz w:val="24"/>
          <w:szCs w:val="24"/>
        </w:rPr>
        <w:t>replication strand of each signature, providing insights into their underlying mutational processes. Experimental validation in a cells with deficient  ribonucleotide excision repair showed that transcription-associated mutagenesis by topoisomerase 1 at sites of ribonucleotides incorporated in genomic DNA generates previously unreported i</w:t>
      </w:r>
      <w:r>
        <w:rPr>
          <w:rFonts w:eastAsia="Liberation Serif" w:hint="eastAsia"/>
          <w:sz w:val="24"/>
          <w:szCs w:val="24"/>
        </w:rPr>
        <w:t>ndel</w:t>
      </w:r>
      <w:r>
        <w:rPr>
          <w:rFonts w:eastAsia="Liberation Serif"/>
          <w:sz w:val="24"/>
          <w:szCs w:val="24"/>
        </w:rPr>
        <w:t xml:space="preserve"> signatures that we identified independently in both indel classification systems </w:t>
      </w:r>
      <w:r>
        <w:fldChar w:fldCharType="begin"/>
      </w:r>
      <w:r>
        <w:rPr>
          <w:rFonts w:eastAsia="Liberation Serif"/>
          <w:sz w:val="24"/>
          <w:szCs w:val="24"/>
        </w:rPr>
        <w:instrText xml:space="preserve">ADDIN ZOTERO_ITEM CSL_CITATION {"citationID":"MFFBVSS7","properties":{"formattedCitation":"(Cho et al. 2013; Takahashi et al. 2011; Lippert et al. 2011)","plainCitation":"(Cho et al. 2013; Takahashi et al. 2011; Lippert et al. 2011)","noteIndex":0},"citationItems":[{"id":"LB8OR9DJ/ukQFUg47","uris":["http://zotero.org/users/14858941/items/KPLSC8FP"],"itemData":{"id":923,"type":"article-journal","abstract":"Topoisomerase 1 (Top1) resolves transcription-associated supercoils by generating transient singlestrand breaks in DNA. Top1 activity in yeast is a major source of transcription-associated mutagenesis, generating a distinctive mutation signature characterized by deletions in short, tandem repeats. A similar signature is associated with the persistence of ribonucleoside monophosphates (rNMPs) in DNA, and it also depends on Top1 activity. There is only partial overlap, however, between Top1-dependent deletion hotspots identiﬁed in highly transcribed DNA and those associated with rNMPs, suggesting the existence of both rNMP-dependent and rNMP-independent events. Here, we present genetic studies conﬁrming that there are two distinct types of hotspots. Data suggest a novel model in which rNMP-dependent hotspots are generated by sequential Top1 reactions and are consistent with rNMP-independent hotspots reﬂecting processing of a trapped Top1 cleavage complex.","container-title":"DNA Repair","DOI":"10.1016/j.dnarep.2012.12.004","ISSN":"1568-7864","issue":"3","language":"en","license":"https://www.elsevier.com/tdm/userlicense/1.0/","note":"publisher: Elsevier BV","page":"205-211","source":"Crossref","title":"Two distinct mechanisms of Topoisomerase 1-dependent mutagenesis in yeast","volume":"12","author":[{"family":"Cho","given":"Jang-Eun"},{"family":"Kim","given":"Nayun"},{"family":"Li","given":"Yue C."},{"family":"Jinks-Robertson","given":"Sue"}],"issued":{"date-parts":[["2013",3]]}}},{"id":"LB8OR9DJ/HtA2qzeP","uris":["http://zotero.org/users/14858941/items/GHSS5QE7"],"itemData":{"id":924,"type":"article-journal","abstract":"High transcription is associated with genetic instability, notably increased spontaneous mutation rates, which is a phenomenon termed Transcription-Associated-Mutagenesis (TAM). In this study, we investigated TAM using the chromosomal            CAN1            gene under the transcriptional control of two strong and inducible promoters (            pGAL1            and            pTET            ) in            Saccharomyces cerevisiae            . Both            pTET            - and            pGAL1            -driven high transcription at the            CAN1            gene result in enhanced spontaneous mutation rates. Comparison of both promoters reveals differences in the type of mutagenesis, except for short (−2 and −3 nt) deletions, which depend only on the level of transcription. This mutation type, characteristic of TAM, is sequence dependent, occurring prefentially at di- and trinucleotides repeats, notably at two mutational hotspots encompassing the same 5′-ACATAT-3′ sequence. To explore the mechanisms underlying the formation of short deletions in the course of TAM, we have determined Can            R            mutation spectra in yeast mutants affected in DNA metabolism. We identified topoisomerase 1-deficient strains (            top1            Δ) that specifically abolish the formation of short deletions under high transcription. The rate of the formation of (−2/−3nt) deletions is also reduced in the absence of            RAD1            and            MUS81            genes, involved in the repair of Top1p–DNA covalent complex. Furthermore ChIP analysis reveals an enrichment of trapped Top1p in the            CAN1            ORF under high transcription. We propose a model, in which the repair of trapped Top1p–DNA complexes provokes the formation of short deletion in            S. cerevisiae            . This study reveals unavoidable conflicts between Top1p and the transcriptional machinery and their potential impact on genome stability.","container-title":"Proceedings of the National Academy of Sciences","DOI":"10.1073/pnas.1012582108","ISSN":"0027-8424, 1091-6490","issue":"2","journalAbbreviation":"Proc. Natl. Acad. Sci. U.S.A.","language":"en","note":"publisher: Proceedings of the National Academy of Sciences","page":"692-697","source":"Crossref","title":"Topoisomerase 1 provokes the formation of short deletions in repeated sequences upon high transcription in            &lt;i&gt;Saccharomyces cerevisiae&lt;/i&gt;","volume":"108","author":[{"family":"Takahashi","given":"Diane T."},{"family":"Burguiere-Slezak","given":"Guenaelle"},{"family":"Van Der Kemp","given":"Patricia Auffret"},{"family":"Boiteux","given":"Serge"}],"issued":{"date-parts":[["2011",1,11]]}}},{"id":"LB8OR9DJ/W5BD7eUC","uris":["http://zotero.org/users/14858941/items/LUMLXEKM"],"itemData":{"id":922,"type":"article-journal","abstract":"High levels of transcription in            Saccharomyces cerevisiae            are associated with increased genetic instability, which has been linked to DNA damage. Here, we describe a            pGAL-CAN1            forward mutation assay for studying transcription-associated mutagenesis (TAM) in yeast. In a wild-type background with no alterations in DNA repair capacity, ≈50% of forward mutations that arise in the            CAN1            gene under high-transcription conditions are deletions of 2–5 bp. Furthermore, the deletions characteristic of TAM localize to discrete hotspots that coincide with 2–4 copies of a tandem repeat. Although the signature deletions of TAM are not affected by the loss of error-free or error-prone lesion bypass pathways, they are completely eliminated by deletion of the            TOP1            gene, which encodes the yeast type IB topoisomerase. Hotspots can be transposed into the context of a frameshift reversion assay, which is sensitive enough to detect Top1-dependent deletions even in the absence of high transcription. We suggest that the accumulation of Top1 cleavage complexes is related to the level of transcription and that their removal leads to the signature deletions. Given the high degree of conservation between DNA metabolic processes, the links established here among transcription, Top1, and mutagenesis are likely to extend beyond the yeast system.","container-title":"Proceedings of the National Academy of Sciences","DOI":"10.1073/pnas.1012363108","ISSN":"0027-8424, 1091-6490","issue":"2","journalAbbreviation":"Proc. Natl. Acad. Sci. U.S.A.","language":"en","note":"publisher: Proceedings of the National Academy of Sciences","page":"698-703","source":"Crossref","title":"Role for topoisomerase 1 in transcription-associated mutagenesis in yeast","volume":"108","author":[{"family":"Lippert","given":"Malcolm J."},{"family":"Kim","given":"Nayun"},{"family":"Cho","given":"Jang-Eun"},{"family":"Larson","given":"Ryan P."},{"family":"Schoenly","given":"Nathan E."},{"family":"O'Shea","given":"Shannon H."},{"family":"Jinks-Robertson","given":"Sue"}],"issued":{"date-parts":[["2011",1,11]]}}}],"schema":"https://github.com/citation-style-language/schema/raw/master/csl-citation.json"}</w:instrText>
      </w:r>
      <w:r>
        <w:rPr>
          <w:rFonts w:eastAsia="Liberation Serif"/>
          <w:sz w:val="24"/>
          <w:szCs w:val="24"/>
        </w:rPr>
      </w:r>
      <w:r>
        <w:rPr>
          <w:rFonts w:eastAsia="Liberation Serif"/>
          <w:sz w:val="24"/>
          <w:szCs w:val="24"/>
        </w:rPr>
        <w:fldChar w:fldCharType="separate"/>
      </w:r>
      <w:r>
        <w:rPr>
          <w:rFonts w:eastAsia="Liberation Serif"/>
          <w:sz w:val="24"/>
          <w:szCs w:val="24"/>
        </w:rPr>
        <w:t>(Cho et al. 2013; Takahashi et al. 2011; Lippert et al. 2011)</w:t>
      </w:r>
      <w:r>
        <w:rPr>
          <w:rFonts w:eastAsia="Liberation Serif"/>
          <w:sz w:val="24"/>
          <w:szCs w:val="24"/>
        </w:rPr>
      </w:r>
      <w:r>
        <w:rPr>
          <w:rFonts w:eastAsia="Liberation Serif"/>
          <w:sz w:val="24"/>
          <w:szCs w:val="24"/>
        </w:rPr>
        <w:fldChar w:fldCharType="end"/>
      </w:r>
      <w:r>
        <w:rPr>
          <w:rFonts w:eastAsia="Liberation Serif"/>
          <w:sz w:val="24"/>
          <w:szCs w:val="24"/>
        </w:rPr>
        <w:t xml:space="preserve"> Additionally, four novel signatures from both indel classifications systems occurred predominantly in the HMF dataset, due to its larger representation of tumors with microsatellite instability (MSI). Together, our analyses provide an expanded and detailed landscape of both C</w:t>
      </w:r>
      <w:r>
        <w:rPr>
          <w:rFonts w:eastAsia="Liberation Serif" w:hint="eastAsia"/>
          <w:sz w:val="24"/>
          <w:szCs w:val="24"/>
        </w:rPr>
        <w:t>OSMI</w:t>
      </w:r>
      <w:r>
        <w:rPr>
          <w:rFonts w:eastAsia="Liberation Serif"/>
          <w:sz w:val="24"/>
          <w:szCs w:val="24"/>
        </w:rPr>
        <w:t>C83 and K</w:t>
      </w:r>
      <w:r>
        <w:rPr>
          <w:rFonts w:eastAsia="Liberation Serif" w:hint="eastAsia"/>
          <w:sz w:val="24"/>
          <w:szCs w:val="24"/>
        </w:rPr>
        <w:t>oh89</w:t>
      </w:r>
      <w:r>
        <w:rPr>
          <w:rFonts w:eastAsia="Liberation Serif"/>
          <w:sz w:val="24"/>
          <w:szCs w:val="24"/>
        </w:rPr>
        <w:t xml:space="preserve"> mutational signatures, comprehensively contributions to key cancer genes, as well as their replication timing, replication strand bias, and genic versus intergenic distributions.</w:t>
      </w:r>
    </w:p>
    <w:p>
      <w:pPr>
        <w:pStyle w:val="Normal"/>
        <w:bidi w:val="0"/>
        <w:spacing w:lineRule="auto" w:line="480"/>
        <w:jc w:val="start"/>
        <w:rPr>
          <w:rFonts w:ascii="Liberation Serif" w:hAnsi="Liberation Serif" w:eastAsia="Liberation Serif"/>
          <w:sz w:val="24"/>
          <w:szCs w:val="24"/>
        </w:rPr>
      </w:pPr>
      <w:r>
        <w:rPr>
          <w:rFonts w:eastAsia="Liberation Serif"/>
          <w:sz w:val="24"/>
          <w:szCs w:val="24"/>
        </w:rPr>
      </w:r>
    </w:p>
    <w:p>
      <w:pPr>
        <w:pStyle w:val="normalfirst"/>
        <w:numPr>
          <w:ilvl w:val="0"/>
          <w:numId w:val="1"/>
        </w:numPr>
        <w:spacing w:lineRule="auto" w:line="240"/>
        <w:rPr>
          <w:sz w:val="18"/>
          <w:szCs w:val="18"/>
          <w:highlight w:val="none"/>
          <w:shd w:fill="D4EA6B" w:val="clear"/>
        </w:rPr>
      </w:pPr>
      <w:r>
        <w:rPr>
          <w:sz w:val="18"/>
          <w:szCs w:val="18"/>
          <w:shd w:fill="D4EA6B" w:val="clear"/>
        </w:rPr>
        <w:t xml:space="preserve">ID24 – lungs of never smokers </w:t>
      </w:r>
    </w:p>
    <w:p>
      <w:pPr>
        <w:pStyle w:val="normalfirst"/>
        <w:numPr>
          <w:ilvl w:val="0"/>
          <w:numId w:val="1"/>
        </w:numPr>
        <w:spacing w:lineRule="auto" w:line="240"/>
        <w:rPr>
          <w:sz w:val="18"/>
          <w:szCs w:val="18"/>
          <w:highlight w:val="none"/>
          <w:shd w:fill="D4EA6B" w:val="clear"/>
        </w:rPr>
      </w:pPr>
      <w:r>
        <w:rPr>
          <w:sz w:val="18"/>
          <w:szCs w:val="18"/>
          <w:shd w:fill="D4EA6B" w:val="clear"/>
        </w:rPr>
        <w:t>ID25 – microsatellite stable colon cancer</w:t>
      </w:r>
    </w:p>
    <w:p>
      <w:pPr>
        <w:pStyle w:val="normalfirst"/>
        <w:numPr>
          <w:ilvl w:val="0"/>
          <w:numId w:val="1"/>
        </w:numPr>
        <w:spacing w:lineRule="auto" w:line="240"/>
        <w:rPr>
          <w:sz w:val="18"/>
          <w:szCs w:val="18"/>
          <w:highlight w:val="none"/>
          <w:shd w:fill="D4EA6B" w:val="clear"/>
        </w:rPr>
      </w:pPr>
      <w:r>
        <w:rPr>
          <w:sz w:val="18"/>
          <w:szCs w:val="18"/>
          <w:shd w:fill="D4EA6B" w:val="clear"/>
        </w:rPr>
        <w:t>ID20 (no specific tissue distribution noted, based on medarxiv paper reporting analysis in 100genome project in UK) ; this is called id 19 in the paper  and is called “rare” single c insertions</w:t>
      </w:r>
    </w:p>
    <w:p>
      <w:pPr>
        <w:pStyle w:val="normalfirst"/>
        <w:numPr>
          <w:ilvl w:val="0"/>
          <w:numId w:val="1"/>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1"/>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rPr>
          <w:highlight w:val="none"/>
          <w:shd w:fill="FFFF00" w:val="clear"/>
        </w:rPr>
      </w:pPr>
      <w:r>
        <w:rPr>
          <w:shd w:fill="FFFF00" w:val="clear"/>
        </w:rPr>
      </w:r>
    </w:p>
    <w:p>
      <w:pPr>
        <w:pStyle w:val="Normal"/>
        <w:bidi w:val="0"/>
        <w:spacing w:lineRule="auto" w:line="480"/>
        <w:jc w:val="start"/>
        <w:rPr>
          <w:rFonts w:ascii="Liberation Serif" w:hAnsi="Liberation Serif" w:eastAsia="Liberation Serif"/>
          <w:sz w:val="24"/>
          <w:szCs w:val="24"/>
        </w:rPr>
      </w:pPr>
      <w:r>
        <w:rPr>
          <w:rFonts w:eastAsia="Liberation Serif"/>
          <w:sz w:val="24"/>
          <w:szCs w:val="24"/>
        </w:rPr>
      </w:r>
    </w:p>
    <w:p>
      <w:pPr>
        <w:pStyle w:val="normalfirst"/>
        <w:rPr>
          <w:shd w:fill="77BC65" w:val="clear"/>
        </w:rPr>
      </w:pPr>
      <w:r>
        <w:rPr>
          <w:shd w:fill="77BC65" w:val="clear"/>
        </w:rPr>
        <w:t xml:space="preserve">&lt;Note our types: </w:t>
      </w:r>
    </w:p>
    <w:p>
      <w:pPr>
        <w:pStyle w:val="normalfirst"/>
        <w:numPr>
          <w:ilvl w:val="0"/>
          <w:numId w:val="2"/>
        </w:numPr>
        <w:rPr>
          <w:shd w:fill="77BC65" w:val="clear"/>
        </w:rPr>
      </w:pPr>
      <w:r>
        <w:rPr>
          <w:shd w:fill="77BC65" w:val="clear"/>
        </w:rPr>
        <w:t xml:space="preserve">1. </w:t>
      </w:r>
      <w:r>
        <w:rPr>
          <w:shd w:fill="77BC65" w:val="clear"/>
        </w:rPr>
        <w:t xml:space="preserve">Biliary Bladder </w:t>
      </w:r>
    </w:p>
    <w:p>
      <w:pPr>
        <w:pStyle w:val="normalfirst"/>
        <w:numPr>
          <w:ilvl w:val="0"/>
          <w:numId w:val="2"/>
        </w:numPr>
        <w:rPr>
          <w:shd w:fill="77BC65" w:val="clear"/>
        </w:rPr>
      </w:pPr>
      <w:r>
        <w:rPr>
          <w:shd w:fill="77BC65" w:val="clear"/>
        </w:rPr>
        <w:t xml:space="preserve">2. </w:t>
      </w:r>
      <w:r>
        <w:rPr>
          <w:shd w:fill="77BC65" w:val="clear"/>
        </w:rPr>
        <w:t>Bone.SoftTissue</w:t>
      </w:r>
    </w:p>
    <w:p>
      <w:pPr>
        <w:pStyle w:val="normalfirst"/>
        <w:numPr>
          <w:ilvl w:val="0"/>
          <w:numId w:val="2"/>
        </w:numPr>
        <w:rPr>
          <w:shd w:fill="77BC65" w:val="clear"/>
        </w:rPr>
      </w:pPr>
      <w:r>
        <w:rPr>
          <w:shd w:fill="77BC65" w:val="clear"/>
        </w:rPr>
        <w:t>3. Br</w:t>
      </w:r>
      <w:r>
        <w:rPr>
          <w:shd w:fill="77BC65" w:val="clear"/>
        </w:rPr>
        <w:t xml:space="preserve">east </w:t>
      </w:r>
    </w:p>
    <w:p>
      <w:pPr>
        <w:pStyle w:val="normalfirst"/>
        <w:numPr>
          <w:ilvl w:val="0"/>
          <w:numId w:val="2"/>
        </w:numPr>
        <w:rPr>
          <w:shd w:fill="77BC65" w:val="clear"/>
        </w:rPr>
      </w:pPr>
      <w:r>
        <w:rPr>
          <w:shd w:fill="77BC65" w:val="clear"/>
        </w:rPr>
        <w:t xml:space="preserve">4. </w:t>
      </w:r>
      <w:r>
        <w:rPr>
          <w:shd w:fill="77BC65" w:val="clear"/>
        </w:rPr>
        <w:t>Cervix</w:t>
      </w:r>
    </w:p>
    <w:p>
      <w:pPr>
        <w:pStyle w:val="normalfirst"/>
        <w:numPr>
          <w:ilvl w:val="0"/>
          <w:numId w:val="2"/>
        </w:numPr>
        <w:rPr>
          <w:shd w:fill="77BC65" w:val="clear"/>
        </w:rPr>
      </w:pPr>
      <w:r>
        <w:rPr>
          <w:shd w:fill="77BC65" w:val="clear"/>
        </w:rPr>
        <w:t>CNS</w:t>
      </w:r>
    </w:p>
    <w:p>
      <w:pPr>
        <w:pStyle w:val="normalfirst"/>
        <w:numPr>
          <w:ilvl w:val="0"/>
          <w:numId w:val="2"/>
        </w:numPr>
        <w:rPr>
          <w:shd w:fill="77BC65" w:val="clear"/>
        </w:rPr>
      </w:pPr>
      <w:r>
        <w:rPr>
          <w:shd w:fill="77BC65" w:val="clear"/>
        </w:rPr>
        <w:t>5.</w:t>
      </w:r>
      <w:r>
        <w:rPr>
          <w:shd w:fill="77BC65" w:val="clear"/>
        </w:rPr>
        <w:t xml:space="preserve"> Colon</w:t>
      </w:r>
    </w:p>
    <w:p>
      <w:pPr>
        <w:pStyle w:val="normalfirst"/>
        <w:numPr>
          <w:ilvl w:val="0"/>
          <w:numId w:val="2"/>
        </w:numPr>
        <w:rPr>
          <w:shd w:fill="77BC65" w:val="clear"/>
        </w:rPr>
      </w:pPr>
      <w:r>
        <w:rPr>
          <w:shd w:fill="77BC65" w:val="clear"/>
        </w:rPr>
        <w:t>6.</w:t>
      </w:r>
      <w:r>
        <w:rPr>
          <w:shd w:fill="77BC65" w:val="clear"/>
        </w:rPr>
        <w:t xml:space="preserve"> Esophagus</w:t>
      </w:r>
    </w:p>
    <w:p>
      <w:pPr>
        <w:pStyle w:val="normalfirst"/>
        <w:numPr>
          <w:ilvl w:val="0"/>
          <w:numId w:val="2"/>
        </w:numPr>
        <w:rPr>
          <w:shd w:fill="77BC65" w:val="clear"/>
        </w:rPr>
      </w:pPr>
      <w:r>
        <w:rPr>
          <w:shd w:fill="77BC65" w:val="clear"/>
        </w:rPr>
        <w:t>7.</w:t>
      </w:r>
      <w:r>
        <w:rPr>
          <w:shd w:fill="77BC65" w:val="clear"/>
        </w:rPr>
        <w:t xml:space="preserve"> Head </w:t>
      </w:r>
    </w:p>
    <w:p>
      <w:pPr>
        <w:pStyle w:val="normalfirst"/>
        <w:numPr>
          <w:ilvl w:val="0"/>
          <w:numId w:val="2"/>
        </w:numPr>
        <w:rPr>
          <w:shd w:fill="77BC65" w:val="clear"/>
        </w:rPr>
      </w:pPr>
      <w:r>
        <w:rPr>
          <w:shd w:fill="77BC65" w:val="clear"/>
        </w:rPr>
        <w:t xml:space="preserve">8. </w:t>
      </w:r>
      <w:r>
        <w:rPr>
          <w:shd w:fill="77BC65" w:val="clear"/>
        </w:rPr>
        <w:t xml:space="preserve">Kidney </w:t>
      </w:r>
    </w:p>
    <w:p>
      <w:pPr>
        <w:pStyle w:val="normalfirst"/>
        <w:numPr>
          <w:ilvl w:val="0"/>
          <w:numId w:val="2"/>
        </w:numPr>
        <w:rPr>
          <w:shd w:fill="77BC65" w:val="clear"/>
        </w:rPr>
      </w:pPr>
      <w:r>
        <w:rPr>
          <w:shd w:fill="77BC65" w:val="clear"/>
        </w:rPr>
        <w:t>9. L</w:t>
      </w:r>
      <w:r>
        <w:rPr>
          <w:shd w:fill="77BC65" w:val="clear"/>
        </w:rPr>
        <w:t xml:space="preserve">iver </w:t>
      </w:r>
    </w:p>
    <w:p>
      <w:pPr>
        <w:pStyle w:val="normalfirst"/>
        <w:numPr>
          <w:ilvl w:val="0"/>
          <w:numId w:val="2"/>
        </w:numPr>
        <w:rPr>
          <w:shd w:fill="77BC65" w:val="clear"/>
        </w:rPr>
      </w:pPr>
      <w:r>
        <w:rPr>
          <w:shd w:fill="77BC65" w:val="clear"/>
        </w:rPr>
        <w:t xml:space="preserve">10. </w:t>
      </w:r>
      <w:r>
        <w:rPr>
          <w:shd w:fill="77BC65" w:val="clear"/>
        </w:rPr>
        <w:t>Lung</w:t>
      </w:r>
    </w:p>
    <w:p>
      <w:pPr>
        <w:pStyle w:val="normalfirst"/>
        <w:numPr>
          <w:ilvl w:val="0"/>
          <w:numId w:val="2"/>
        </w:numPr>
        <w:rPr>
          <w:shd w:fill="77BC65" w:val="clear"/>
        </w:rPr>
      </w:pPr>
      <w:r>
        <w:rPr>
          <w:shd w:fill="77BC65" w:val="clear"/>
        </w:rPr>
        <w:t>12.</w:t>
      </w:r>
      <w:r>
        <w:rPr>
          <w:shd w:fill="77BC65" w:val="clear"/>
        </w:rPr>
        <w:t xml:space="preserve"> Lymphoid</w:t>
      </w:r>
    </w:p>
    <w:p>
      <w:pPr>
        <w:pStyle w:val="normalfirst"/>
        <w:numPr>
          <w:ilvl w:val="0"/>
          <w:numId w:val="2"/>
        </w:numPr>
        <w:rPr>
          <w:shd w:fill="77BC65" w:val="clear"/>
        </w:rPr>
      </w:pPr>
      <w:r>
        <w:rPr>
          <w:shd w:fill="77BC65" w:val="clear"/>
        </w:rPr>
        <w:t>13</w:t>
      </w:r>
      <w:r>
        <w:rPr>
          <w:shd w:fill="77BC65" w:val="clear"/>
        </w:rPr>
        <w:t xml:space="preserve"> Myeloid</w:t>
      </w:r>
    </w:p>
    <w:p>
      <w:pPr>
        <w:pStyle w:val="normalfirst"/>
        <w:numPr>
          <w:ilvl w:val="0"/>
          <w:numId w:val="2"/>
        </w:numPr>
        <w:rPr>
          <w:shd w:fill="77BC65" w:val="clear"/>
        </w:rPr>
      </w:pPr>
      <w:r>
        <w:rPr>
          <w:shd w:fill="77BC65" w:val="clear"/>
        </w:rPr>
        <w:t>OTHER</w:t>
      </w:r>
    </w:p>
    <w:p>
      <w:pPr>
        <w:pStyle w:val="normalfirst"/>
        <w:numPr>
          <w:ilvl w:val="0"/>
          <w:numId w:val="2"/>
        </w:numPr>
        <w:rPr>
          <w:shd w:fill="77BC65" w:val="clear"/>
        </w:rPr>
      </w:pPr>
      <w:r>
        <w:rPr>
          <w:shd w:fill="77BC65" w:val="clear"/>
        </w:rPr>
        <w:t>14</w:t>
      </w:r>
      <w:r>
        <w:rPr>
          <w:shd w:fill="77BC65" w:val="clear"/>
        </w:rPr>
        <w:t xml:space="preserve"> Ovary</w:t>
      </w:r>
    </w:p>
    <w:p>
      <w:pPr>
        <w:pStyle w:val="normalfirst"/>
        <w:numPr>
          <w:ilvl w:val="0"/>
          <w:numId w:val="2"/>
        </w:numPr>
        <w:rPr>
          <w:shd w:fill="77BC65" w:val="clear"/>
        </w:rPr>
      </w:pPr>
      <w:r>
        <w:rPr>
          <w:shd w:fill="77BC65" w:val="clear"/>
        </w:rPr>
        <w:t>15</w:t>
      </w:r>
      <w:r>
        <w:rPr>
          <w:shd w:fill="77BC65" w:val="clear"/>
        </w:rPr>
        <w:t xml:space="preserve"> Pancreas</w:t>
      </w:r>
    </w:p>
    <w:p>
      <w:pPr>
        <w:pStyle w:val="normalfirst"/>
        <w:numPr>
          <w:ilvl w:val="0"/>
          <w:numId w:val="2"/>
        </w:numPr>
        <w:rPr>
          <w:shd w:fill="77BC65" w:val="clear"/>
        </w:rPr>
      </w:pPr>
      <w:r>
        <w:rPr>
          <w:shd w:fill="77BC65" w:val="clear"/>
        </w:rPr>
        <w:t xml:space="preserve">16. </w:t>
      </w:r>
      <w:r>
        <w:rPr>
          <w:shd w:fill="77BC65" w:val="clear"/>
        </w:rPr>
        <w:t>Prostate</w:t>
      </w:r>
    </w:p>
    <w:p>
      <w:pPr>
        <w:pStyle w:val="normalfirst"/>
        <w:numPr>
          <w:ilvl w:val="0"/>
          <w:numId w:val="2"/>
        </w:numPr>
        <w:rPr>
          <w:shd w:fill="77BC65" w:val="clear"/>
        </w:rPr>
      </w:pPr>
      <w:r>
        <w:rPr>
          <w:shd w:fill="77BC65" w:val="clear"/>
        </w:rPr>
        <w:t>17.</w:t>
      </w:r>
      <w:r>
        <w:rPr>
          <w:shd w:fill="77BC65" w:val="clear"/>
        </w:rPr>
        <w:t xml:space="preserve"> Skin</w:t>
      </w:r>
    </w:p>
    <w:p>
      <w:pPr>
        <w:pStyle w:val="normalfirst"/>
        <w:numPr>
          <w:ilvl w:val="0"/>
          <w:numId w:val="2"/>
        </w:numPr>
        <w:rPr>
          <w:shd w:fill="77BC65" w:val="clear"/>
        </w:rPr>
      </w:pPr>
      <w:r>
        <w:rPr>
          <w:shd w:fill="77BC65" w:val="clear"/>
        </w:rPr>
        <w:t>18.</w:t>
      </w:r>
      <w:r>
        <w:rPr>
          <w:shd w:fill="77BC65" w:val="clear"/>
        </w:rPr>
        <w:t xml:space="preserve"> Stomach</w:t>
      </w:r>
    </w:p>
    <w:p>
      <w:pPr>
        <w:pStyle w:val="normalfirst"/>
        <w:numPr>
          <w:ilvl w:val="0"/>
          <w:numId w:val="2"/>
        </w:numPr>
        <w:rPr>
          <w:shd w:fill="77BC65" w:val="clear"/>
        </w:rPr>
      </w:pPr>
      <w:r>
        <w:rPr>
          <w:shd w:fill="77BC65" w:val="clear"/>
        </w:rPr>
        <w:t>19.</w:t>
      </w:r>
      <w:r>
        <w:rPr>
          <w:shd w:fill="77BC65" w:val="clear"/>
        </w:rPr>
        <w:t xml:space="preserve"> Thymus</w:t>
      </w:r>
    </w:p>
    <w:p>
      <w:pPr>
        <w:pStyle w:val="normalfirst"/>
        <w:numPr>
          <w:ilvl w:val="0"/>
          <w:numId w:val="2"/>
        </w:numPr>
        <w:rPr>
          <w:shd w:fill="77BC65" w:val="clear"/>
        </w:rPr>
      </w:pPr>
      <w:r>
        <w:rPr>
          <w:shd w:fill="77BC65" w:val="clear"/>
        </w:rPr>
        <w:t>20.</w:t>
      </w:r>
      <w:r>
        <w:rPr>
          <w:shd w:fill="77BC65" w:val="clear"/>
        </w:rPr>
        <w:t xml:space="preserve"> Uterus</w:t>
      </w:r>
    </w:p>
    <w:p>
      <w:pPr>
        <w:pStyle w:val="normalfirst"/>
        <w:rPr>
          <w:shd w:fill="77BC65" w:val="clear"/>
        </w:rPr>
      </w:pPr>
      <w:r>
        <w:rPr>
          <w:shd w:fill="77BC65" w:val="clear"/>
        </w:rPr>
      </w:r>
    </w:p>
    <w:p>
      <w:pPr>
        <w:pStyle w:val="normalfirst"/>
        <w:rPr>
          <w:shd w:fill="77BC65" w:val="clear"/>
        </w:rPr>
      </w:pPr>
      <w:r>
        <w:rPr>
          <w:shd w:fill="77BC65" w:val="clear"/>
        </w:rPr>
        <w:t xml:space="preserve">Other </w:t>
      </w:r>
    </w:p>
    <w:p>
      <w:pPr>
        <w:pStyle w:val="normalfirst"/>
        <w:rPr>
          <w:shd w:fill="77BC65" w:val="clear"/>
        </w:rPr>
      </w:pPr>
      <w:r>
        <w:rPr>
          <w:shd w:fill="77BC65" w:val="clear"/>
        </w:rPr>
        <w:t xml:space="preserve"> </w:t>
      </w:r>
      <w:r>
        <w:rPr>
          <w:shd w:fill="77BC65" w:val="clear"/>
        </w:rPr>
        <w:t>Testis Neuroendocrine Thyroid Anus Penile Mesothelioma Vulva Nervous.system Vagina Eye Adrenal Vascular [excluded: Unknown, NULL, CNS (subsumed under nervous system, GI-tract – mostly colon, esophagus, stomach) – Double primary]</w:t>
      </w:r>
    </w:p>
    <w:p>
      <w:pPr>
        <w:pStyle w:val="normalfirst"/>
        <w:rPr>
          <w:shd w:fill="77BC65" w:val="clear"/>
        </w:rPr>
      </w:pPr>
      <w:r>
        <w:rPr>
          <w:shd w:fill="77BC65" w:val="clear"/>
        </w:rPr>
      </w:r>
    </w:p>
    <w:p>
      <w:pPr>
        <w:pStyle w:val="Normal"/>
        <w:rPr/>
      </w:pPr>
      <w:r>
        <w:rPr/>
        <w:t xml:space="preserve"> </w:t>
      </w:r>
      <w:r>
        <w:rPr/>
        <w:t xml:space="preserve">Explain C and H sigs in fig 2 legend; explain insdel in fig 3 legend, Put this in We designate signatures in 89-type classification that we extracted with the prefix InsDel (e.g. InsDel23 in Figure 1B). We based the numbering of signatures in the 89-type classification on the numbering in </w:t>
      </w:r>
      <w:r>
        <w:rPr>
          <w:shd w:fill="FFFF00" w:val="clear"/>
        </w:rPr>
        <w:t>&lt;ref cosmic&gt;, and  wh</w:t>
      </w:r>
      <w:r>
        <w:rPr/>
        <w:t>en a single signature in the 83-type classification can be subdivided into several several signatures in the 89-type classification, we distinguish the latter by single-letter suffixes. For example, the 83-type signature ID1 maps to the 89-type InsDel1a, InsDel1b, InsDel1c, and InsDel1d signatures.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
        <w:ind w:hanging="0" w:start="0"/>
        <w:rPr>
          <w:shd w:fill="FFFF00" w:val="clear"/>
        </w:rPr>
      </w:pPr>
      <w:r>
        <w:rPr>
          <w:shd w:fill="FFFF00" w:val="clear"/>
        </w:rPr>
      </w:r>
    </w:p>
    <w:p>
      <w:pPr>
        <w:pStyle w:val="Normal"/>
        <w:rPr/>
      </w:pPr>
      <w:r>
        <w:rPr/>
        <w:t xml:space="preserve">&lt;because of the large numbers of mutations missed by the original classification, probably belongs here; need to document the large numbers&gt; 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rFonts w:hint="eastAsia"/>
        </w:rPr>
      </w:pPr>
      <w:r>
        <w:rPr>
          <w:rFonts w:hint="eastAsia"/>
        </w:rPr>
      </w:r>
    </w:p>
    <w:p>
      <w:pPr>
        <w:pStyle w:val="normalfirst"/>
        <w:rPr>
          <w:rFonts w:hint="eastAsia"/>
          <w:shd w:fill="FFFF00" w:val="clear"/>
        </w:rPr>
      </w:pPr>
      <w:r>
        <w:rPr>
          <w:rFonts w:hint="eastAsia"/>
          <w:shd w:fill="FFFF00" w:val="clear"/>
        </w:rPr>
        <w:t>Possible additional abstract points</w:t>
      </w:r>
    </w:p>
    <w:p>
      <w:pPr>
        <w:pStyle w:val="normalfirst"/>
        <w:rPr>
          <w:rFonts w:hint="eastAsia"/>
        </w:rPr>
      </w:pPr>
      <w:r>
        <w:rPr>
          <w:rFonts w:hint="eastAsia"/>
        </w:rPr>
        <w:t xml:space="preserve">The 89-type classification offered improved discrimination between different signatures associated with microsatellite instability, and 4 of the novel signatures were associated with microsatellite instability. </w:t>
      </w:r>
    </w:p>
    <w:p>
      <w:pPr>
        <w:pStyle w:val="normalfirst"/>
        <w:rPr/>
      </w:pPr>
      <w:r>
        <w:rPr/>
        <w:t xml:space="preserve">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p>
    <w:p>
      <w:pPr>
        <w:pStyle w:val="normalfirst"/>
        <w:rPr/>
      </w:pP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w:t>
      </w:r>
    </w:p>
    <w:p>
      <w:pPr>
        <w:pStyle w:val="normalfirst"/>
        <w:rPr/>
      </w:pPr>
      <w:r>
        <w:rPr/>
        <w:t xml:space="preserve">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p>
    <w:p>
      <w:pPr>
        <w:pStyle w:val="normalfirst"/>
        <w:rPr>
          <w:shd w:fill="FFFF00" w:val="clear"/>
        </w:rPr>
      </w:pPr>
      <w:r>
        <w:rPr>
          <w:shd w:fill="FFFF00" w:val="clea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E"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Lohit Devanagari"/>
      <w:color w:val="auto"/>
      <w:kern w:val="2"/>
      <w:sz w:val="24"/>
      <w:szCs w:val="24"/>
      <w:lang w:val="en-IE"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first">
    <w:name w:val="normal_first"/>
    <w:basedOn w:val="Normal"/>
    <w:qFormat/>
    <w:pPr>
      <w:ind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LibreOffice/25.8.4.2$Linux_X86_64 LibreOffice_project/580$Build-2</Application>
  <AppVersion>15.0000</AppVersion>
  <Pages>3</Pages>
  <Words>878</Words>
  <Characters>5094</Characters>
  <CharactersWithSpaces>5928</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2023-04-27T19:59:21Z</dcterms:created>
  <dc:creator/>
  <dc:description/>
  <dc:language>en-US</dc:language>
  <cp:lastModifiedBy/>
  <dcterms:modified xsi:type="dcterms:W3CDTF">2026-01-17T13:30:27Z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