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48 mutational signatures in the new 89-type classification and 46 of those in the 476-type classification. Of these, to our knowledge, similar signatures were previously described for 18 </w:t>
      </w:r>
      <w:r>
        <w:rPr>
          <w:shd w:fill="FFFF00" w:val="clear"/>
        </w:rPr>
        <w:t>(48 - (26 + 4 second matches))</w:t>
      </w:r>
      <w:r>
        <w:rP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251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recently </w:t>
      </w:r>
      <w:r>
        <w:fldChar w:fldCharType="begin"/>
      </w:r>
      <w:r>
        <w:rPr/>
        <w:instrText xml:space="preserve">vnd.oasis.opendocument.field.UNHANDLED</w:instrText>
      </w:r>
      <w:r>
        <w:rPr/>
      </w:r>
      <w:r>
        <w:rPr/>
        <w:fldChar w:fldCharType="separate"/>
      </w:r>
      <w:r>
        <w:rPr/>
        <w:t>(Koh et al. 2025)</w:t>
      </w:r>
      <w:r>
        <w:rPr/>
      </w:r>
      <w:r>
        <w:rPr/>
        <w:fldChar w:fldCharType="end"/>
      </w:r>
      <w:r>
        <w:rPr/>
        <w:t xml:space="preserve"> proposed two schemes, one with 89 types of indel and one with 476 types (Figure 1). Of note, algorithmic translation between the 83-type classification and the two new classification schemes is impossible</w:t>
      </w:r>
      <w:r>
        <w:rPr>
          <w:shd w:fill="FFFF00" w:val="clear"/>
        </w:rPr>
        <w:t xml:space="preserve"> (Table S XXXX)</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Koh et al., proposed two new classifications, one based on 476 types of indel and one based on 89 types, which mainly consolidates similar mutation types in the 476-type classification into more-coarse-grained mutation types </w:t>
      </w:r>
      <w:r>
        <w:rPr>
          <w:color w:val="000000"/>
          <w:shd w:fill="FFFF00" w:val="clear"/>
        </w:rPr>
        <w:t>&lt;reference&gt;</w:t>
      </w:r>
      <w:r>
        <w:rPr/>
        <w:t xml:space="preserve"> Critically, both the 476 and the 89-type classifications distinguish different types indels of a single T or C according to the non-T (respectively, non-C) flaking bases while the 83-type classification does not make these distinctions. Consideration of flanking bases dramatically improves discrimination between mutational spectra and signatures involving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w:t>
      </w:r>
      <w:r>
        <w:rPr>
          <w:shd w:fill="auto" w:val="clear"/>
        </w:rPr>
        <w:t>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shd w:fill="auto" w:val="clear"/>
        </w:rPr>
        <w:t xml:space="preserve">using a method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and SigProfilerEx</w:t>
      </w:r>
      <w:r>
        <w:rPr/>
        <w:t xml:space="preserve">tractor (SigPro), a method based on non-negative matrix factorization </w:t>
      </w:r>
      <w:r>
        <w:fldChar w:fldCharType="begin"/>
      </w:r>
      <w: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r>
      <w:r>
        <w:rPr/>
        <w:fldChar w:fldCharType="separate"/>
      </w:r>
      <w:r>
        <w:rPr/>
        <w:t>(Islam et al. 2022)</w:t>
      </w:r>
      <w:r>
        <w:rPr/>
      </w:r>
      <w:r>
        <w:rPr/>
        <w:fldChar w:fldCharType="end"/>
      </w:r>
      <w:r>
        <w:rPr/>
        <w:t>. The extracted signatures were broadly consistent between the two methods (</w:t>
      </w:r>
      <w:r>
        <w:rPr>
          <w:shd w:fill="FFFF00" w:val="clear"/>
        </w:rPr>
        <w:t xml:space="preserve">see table 1, our web page, and details in table S12 and &lt;elsewhere&gt;, including our web page), </w:t>
      </w:r>
      <w:r>
        <w:rPr>
          <w:shd w:fill="auto" w:val="clear"/>
        </w:rPr>
        <w:t>We identified 48 mutational signatures in the new 89-type classification and 46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0.9897 (median &gt; 0.9969, minimum &gt; 0.9302), providing evidence that represent robust latent factors. Further evidence of their robustness derives from the identification of tumor spectra dominated by a single signature. For 46 of the 48 signatures we identified tumors with &gt; 0.95 cosine similarity (Table 1). We then reasoned that we could compare the spectra of these tumors in the 83-type classification to signatures identified in the 83-type classification, and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pPr>
        <w:pStyle w:val="normalfirst"/>
        <w:rPr/>
      </w:pPr>
      <w:r>
        <w:rPr/>
        <w:tab/>
        <w:t xml:space="preserve">Of the 48 signatures identified in the 89-type classification, similar signatures were previously described for 18 </w:t>
      </w:r>
      <w:r>
        <w:rPr>
          <w:shd w:fill="FFFF00" w:val="clear"/>
        </w:rPr>
        <w:t xml:space="preserve">(48 - (26 + 4 second matches)) &lt;cite Koh 2925). </w:t>
      </w:r>
    </w:p>
    <w:p>
      <w:pPr>
        <w:pStyle w:val="normalfirst"/>
        <w:rPr>
          <w:highlight w:val="none"/>
          <w:shd w:fill="FFFF00" w:val="clear"/>
        </w:rPr>
      </w:pPr>
      <w:r>
        <w:rPr>
          <w:shd w:fill="FFFF00" w:val="clear"/>
        </w:rPr>
        <w:t>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rFonts w:hint="eastAsia"/>
        </w:rPr>
      </w:pPr>
      <w:r>
        <w:rPr>
          <w:rFonts w:hint="eastAsia"/>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31</w:t>
    </w:r>
    <w:r>
      <w:rPr/>
      <w:fldChar w:fldCharType="end"/>
    </w:r>
  </w:p>
</w:ftr>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171</TotalTime>
  <Application>LibreOffice/25.8.4.2$Linux_X86_64 LibreOffice_project/580$Build-2</Application>
  <AppVersion>15.0000</AppVersion>
  <Pages>3</Pages>
  <Words>8062</Words>
  <Characters>49777</Characters>
  <CharactersWithSpaces>57704</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2026-01-11T13:09:00Z</dcterms:created>
  <dc:creator>Mo Liu</dc:creator>
  <dc:description/>
  <dc:language>en-US</dc:language>
  <cp:lastModifiedBy/>
  <cp:lastPrinted>2025-06-06T09:23:00Z</cp:lastPrinted>
  <dcterms:modified xsi:type="dcterms:W3CDTF">2026-01-16T22:00:28Z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