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t xml:space="preserve"> Xue Ming Wu1, Qi Zheng</w:t>
      </w:r>
      <w:r>
        <w:rPr>
          <w:rFonts w:hint="eastAsia"/>
        </w:rPr>
        <w:t xml:space="preserve">1, </w:t>
      </w:r>
      <w:r>
        <w:rPr/>
        <w:t>Runtian Yao</w:t>
      </w:r>
      <w:r>
        <w:rPr>
          <w:rFonts w:hint="eastAsia"/>
        </w:rPr>
        <w:t>4</w:t>
      </w:r>
      <w:r>
        <w:rPr/>
        <w:t xml:space="preserve">, </w:t>
      </w:r>
      <w:r>
        <w:rPr>
          <w:rFonts w:hint="eastAsia"/>
        </w:rPr>
        <w:t xml:space="preserve">Ying Yang1, Runxi Shen5, </w:t>
      </w:r>
      <w:r>
        <w:rPr/>
        <w:t>Steven G. Rozen</w:t>
      </w:r>
      <w:r>
        <w:rPr>
          <w:rFonts w:hint="eastAsia"/>
        </w:rPr>
        <w:t>2,3,6#</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 We show here that both these classifications provide better discrimination between spectra and signatures than the older classification into 83 types of indel.  We analyzed somatic indels in 6,975 whole genomes from 32 cancer types to create comprehensive collections of signatures in all three classification schemes. We identified signatures in all three classification schemes using methods based on hierarchical Dirichlet processes and on non-negative matrix factorization with consistent results across the two methods. We identified 48 mutational signatures in the new 89-type classification and 46 of those in the 476-type classification. Of these, to our knowledge, similar signatures were previously described for 18 </w:t>
      </w:r>
      <w:r>
        <w:rPr>
          <w:shd w:fill="FFFF00" w:val="clear"/>
        </w:rPr>
        <w:t>(48 - (26 + 4 second matches))</w:t>
      </w:r>
      <w:r>
        <w:rPr/>
        <w:t xml:space="preserve">. Algorithmic translation between signatures in the 83-type and the two new classifications schemes is impossible. However, we leveraged tumor mutational spectra dominated by individual signatures to exhaustively elucidate the correspondences between signatures in the 83-type classification scheme and the two new schemes.  Nonetheless, the new schemes are in almost all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pPr>
        <w:pStyle w:val="normalfirst"/>
        <w:rPr/>
      </w:pPr>
      <w:r>
        <w:rPr/>
        <w:t>(Currently 251 words)</w:t>
      </w:r>
    </w:p>
    <w:p>
      <w:pPr>
        <w:pStyle w:val="normalfirst"/>
        <w:rPr/>
      </w:pPr>
      <w:r>
        <w:rPr/>
      </w:r>
    </w:p>
    <w:p>
      <w:pPr>
        <w:pStyle w:val="normalfirst"/>
        <w:rPr/>
      </w:pPr>
      <w:r>
        <w:rPr/>
      </w:r>
    </w:p>
    <w:p>
      <w:pPr>
        <w:pStyle w:val="normalfirst"/>
        <w:rPr/>
      </w:pPr>
      <w:r>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shd w:fill="FFFF00" w:val="clear"/>
        </w:rPr>
      </w:pPr>
      <w:r>
        <w:rPr>
          <w:shd w:fill="FFFF00" w:val="clear"/>
        </w:rPr>
        <w:t>Elife? Cell / cell genomics resource?</w:t>
      </w:r>
    </w:p>
    <w:p>
      <w:pPr>
        <w:pStyle w:val="normalfirst"/>
        <w:rPr>
          <w:shd w:fill="FFFF00" w:val="clear"/>
        </w:rPr>
      </w:pPr>
      <w:r>
        <w:rPr>
          <w:shd w:fill="FFFF00" w:val="clear"/>
        </w:rPr>
      </w:r>
    </w:p>
    <w:p>
      <w:pPr>
        <w:pStyle w:val="normalfirst"/>
        <w:rPr>
          <w:shd w:fill="FFFF00" w:val="clear"/>
        </w:rPr>
      </w:pPr>
      <w:r>
        <w:rPr>
          <w:shd w:fill="FFFF00" w:val="clear"/>
        </w:rPr>
        <w:t>https://share.google/aimode/QKRo26NUhoR9S8WBd</w:t>
      </w:r>
    </w:p>
    <w:p>
      <w:pPr>
        <w:pStyle w:val="Normal"/>
        <w:ind w:hanging="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b w:val="false"/>
          <w:i w:val="false"/>
          <w:caps w:val="false"/>
          <w:smallCaps w:val="false"/>
          <w:position w:val="0"/>
          <w:sz w:val="24"/>
          <w:u w:val="none"/>
          <w:vertAlign w:val="baseline"/>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rPr/>
        <w:t>(Davies et a</w:t>
      </w:r>
      <w:r>
        <w:rPr>
          <w:shd w:fill="auto" w:val="clear"/>
        </w:rPr>
        <w:t>l. 2017)</w:t>
      </w:r>
      <w:bookmarkStart w:id="9" w:name="ZOTERO_BREF_0R4W6QbbYRxt"/>
      <w:bookmarkEnd w:id="8"/>
      <w:r>
        <w:rPr>
          <w:shd w:fill="auto" w:val="clear"/>
        </w:rPr>
        <w:t>(Koh et al. 2025b)</w:t>
      </w:r>
      <w:bookmarkStart w:id="10" w:name="ZOTERO_BREF_hhD988u0jN7V"/>
      <w:bookmarkEnd w:id="9"/>
      <w:r>
        <w:rPr>
          <w:shd w:fill="auto" w:val="clear"/>
        </w:rPr>
        <w:t>(Huang et al. 2015)</w:t>
      </w:r>
      <w:bookmarkEnd w:id="10"/>
      <w:r>
        <w:rPr>
          <w:shd w:fill="auto" w:val="clear"/>
        </w:rPr>
        <w:t xml:space="preserve"> and a rar</w:t>
      </w:r>
      <w:r>
        <w:rPr/>
        <w:t xml:space="preserve">e indel hypermutator phenotype due to a mutation in topoisomerase 2 alpha </w:t>
      </w:r>
      <w:bookmarkStart w:id="11" w:name="ZOTERO_BREF_D2iecPnvmjdB"/>
      <w:r>
        <w:rPr/>
        <w:t>(Boot et al. 2022)</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bookmarkEnd w:id="11"/>
      <w:r>
        <w:rPr/>
      </w:r>
      <w:r>
        <w:rPr/>
        <w:fldChar w:fldCharType="separate"/>
      </w:r>
      <w:r>
        <w:rPr/>
      </w:r>
      <w:r>
        <w:rPr>
          <w:rStyle w:val="normalfirstChar"/>
        </w:rPr>
        <w:t>(Boot et al. 2022)</w:t>
      </w:r>
      <w:r>
        <w:rPr/>
      </w:r>
      <w:r>
        <w:rPr/>
        <w:fldChar w:fldCharType="end"/>
      </w:r>
      <w:r>
        <w:rPr>
          <w:rStyle w:val="normalfirstChar"/>
        </w:rPr>
        <w:t xml:space="preserve">. </w:t>
      </w:r>
      <w:r>
        <w:rPr/>
        <w:t xml:space="preserve">Despite their importance, indel signatures have received less attention than SBS signatures. </w:t>
      </w:r>
      <w:r>
        <w:rPr/>
        <w:t xml:space="preserve">Symptomatic of this, </w:t>
      </w:r>
      <w:r>
        <w:rPr/>
        <w:t xml:space="preserve">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pPr>
      <w:r>
        <w:rPr/>
        <w:t xml:space="preserve">The first widely used classification of indels recognizes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2" w:name="ZOTERO_BREF_2bTJlJjriYWb"/>
      <w:r>
        <w:rPr/>
        <w:t>(Koh et al. 2025b)</w:t>
      </w:r>
      <w:r>
        <w:fldChar w:fldCharType="begin"/>
      </w:r>
      <w:r>
        <w:rPr/>
        <w:instrText xml:space="preserve">vnd.oasis.opendocument.field.UNHANDLED</w:instrText>
      </w:r>
      <w:bookmarkEnd w:id="12"/>
      <w:r>
        <w:rPr/>
      </w:r>
      <w:r>
        <w:rPr/>
        <w:fldChar w:fldCharType="separate"/>
      </w:r>
      <w:r>
        <w:rPr/>
        <w:t>(Koh et al. 2025)</w:t>
      </w:r>
      <w:r>
        <w:rPr/>
      </w:r>
      <w:r>
        <w:rPr/>
        <w:fldChar w:fldCharType="end"/>
      </w:r>
      <w:r>
        <w:rPr/>
        <w:t xml:space="preserve"> proposed two </w:t>
      </w:r>
      <w:r>
        <w:rPr/>
        <w:t xml:space="preserve">classification </w:t>
      </w:r>
      <w:r>
        <w:rPr/>
        <w:t xml:space="preserve">schemes, one with 89 types of indel and one with 476 types (Figure 1). </w:t>
      </w:r>
    </w:p>
    <w:p>
      <w:pPr>
        <w:pStyle w:val="Normal"/>
        <w:rPr/>
      </w:pPr>
      <w:r>
        <w:rP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w:t>
      </w:r>
      <w:r>
        <w:rPr/>
        <w:t>one based on 476 types of indel and one based on 89 types, which mainly consolidates similar mutation types in the 476-type classification into coarse</w:t>
      </w:r>
      <w:r>
        <w:rPr/>
        <w:t>r</w:t>
      </w:r>
      <w:r>
        <w:rPr/>
        <w:t xml:space="preserve">-grained mutation types </w:t>
      </w:r>
      <w:bookmarkStart w:id="13" w:name="ZOTERO_BREF_6zFIi2vPZWZ4"/>
      <w:r>
        <w:rPr>
          <w:shd w:fill="auto" w:val="clear"/>
        </w:rPr>
        <w:t>(Koh et al. 2025a)</w:t>
      </w:r>
      <w:bookmarkEnd w:id="13"/>
      <w:r>
        <w:rPr>
          <w:color w:val="000000"/>
          <w:shd w:fill="auto" w:val="clear"/>
        </w:rPr>
        <w:t>.</w:t>
      </w:r>
      <w:r>
        <w:rPr>
          <w:shd w:fill="auto" w:val="clear"/>
        </w:rPr>
        <w:t xml:space="preserve"> </w:t>
      </w:r>
      <w:r>
        <w:rPr>
          <w:shd w:fill="auto" w:val="clear"/>
        </w:rPr>
        <w:t>Critically, unlike the 83-type classification scheme</w:t>
      </w:r>
      <w:r>
        <w:rPr/>
        <w:t xml:space="preserve">, both the 476 and the 89-type classifications distinguish different types indels of a single T or C according to the non-T (respectively, non-C) flaking bases. </w:t>
      </w:r>
      <w:r>
        <w:rPr/>
        <w:t>This</w:t>
      </w:r>
      <w:r>
        <w:rPr/>
        <w:t xml:space="preserve"> dramatically improves discrimination between mutational spectra and signatures </w:t>
      </w:r>
      <w:r>
        <w:rPr/>
        <w:t>containing</w:t>
      </w:r>
      <w:r>
        <w:rPr/>
        <w:t xml:space="preserve"> single-base indels, which are present in most signatures. For example, the 89-type classification distinguishes between deletions of a T in which the preceding base is A, C, or G (in Figure 1B, signature InsDel23). &lt;</w:t>
      </w:r>
      <w:r>
        <w:rPr>
          <w:shd w:fill="FFFF00" w:val="clear"/>
        </w:rPr>
        <w:t xml:space="preserve">is this in the figure?&gt; </w:t>
      </w:r>
      <w:r>
        <w:rPr/>
        <w:t xml:space="preserve">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w:t>
      </w:r>
      <w:r>
        <w:rPr/>
        <w:t>and 476-type classification schemes capture</w:t>
      </w:r>
      <w:r>
        <w:rPr/>
        <w:t xml:space="preserve"> (Figure 1B versus Figure 1C). </w:t>
      </w:r>
    </w:p>
    <w:p>
      <w:pPr>
        <w:pStyle w:val="Normal"/>
        <w:rPr/>
      </w:pPr>
      <w:r>
        <w:rPr/>
        <w:t>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replication strand of each signature, providing insights into their underlying mutational processes</w:t>
      </w:r>
      <w:r>
        <w:rPr>
          <w:shd w:fill="FFFF00" w:val="clear"/>
        </w:rPr>
        <w:t xml:space="preserve"> &lt;are these really in the paper?&gt;</w:t>
      </w:r>
      <w:r>
        <w:rPr/>
        <w:t xml:space="preserve">.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w:t>
      </w:r>
      <w:r>
        <w:rPr>
          <w:shd w:fill="FFFF00" w:val="clear"/>
        </w:rPr>
        <w:t xml:space="preserve">(put these on zenodo) </w:t>
      </w:r>
      <w:r>
        <w:rPr/>
        <w:t xml:space="preserve">using a method based on hierarchical Dirichlet processes  </w:t>
      </w:r>
      <w:bookmarkStart w:id="14" w:name="ZOTERO_BREF_sXKgi2ptdMXh"/>
      <w:r>
        <w:rPr/>
        <w:t>(Liu et al. 2023)</w:t>
      </w:r>
      <w:bookmarkEnd w:id="14"/>
      <w:r>
        <w:rPr/>
        <w:t xml:space="preserve">, and SigProfilerExtractor (SigPro), a method based on non-negative matrix factorization </w:t>
      </w:r>
      <w:bookmarkStart w:id="15" w:name="ZOTERO_BREF_Ax2rB3g50il2"/>
      <w:r>
        <w:rPr/>
        <w:t>(Islam et al. 2022)</w:t>
      </w:r>
      <w:bookmarkEnd w:id="15"/>
      <w:r>
        <w:rPr/>
        <w:t>. The extracted signatures were broadly consistent between the two methods (</w:t>
      </w:r>
      <w:r>
        <w:rPr>
          <w:shd w:fill="FFFF00" w:val="clear"/>
        </w:rPr>
        <w:t xml:space="preserve">see table 1, our web page, and details in table S12 and &lt;elsewhere&gt;, including our web page), </w:t>
      </w:r>
      <w:r>
        <w:rPr/>
        <w:t>We identified 48 mutational signatures in the new 89-type classification and 46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0.9897 (median &gt; 0.9969, minimum &gt; 0.9302), providing evidence that represent robust latent factors. Further evidence of their robustness derives from the identification of tumor spectra dominated by a single signature. For 46 of the 48 signatures we identified tumors with &gt; 0.95 cosine similarity (Table 1). We then reasoned that we could compare the spectra of these tumors in the 83-type classification to signatures identified in the 83-type classification, and thereby establish concordance between these signatures and the 89 and 476-type signatures. We observed that some signatures extracted in the 83-type classification had diminished proportions of (sometime near absence of) insertions or deletions in the context of long poly-T regions. &lt;expand?&gt;.</w:t>
      </w:r>
    </w:p>
    <w:p>
      <w:pPr>
        <w:pStyle w:val="normalfirst"/>
        <w:rPr/>
      </w:pPr>
      <w:r>
        <w:rPr/>
        <w:tab/>
        <w:t xml:space="preserve">Of the 48 signatures identified in the 89-type classification, similar signatures were previously described for 18 </w:t>
      </w:r>
      <w:r>
        <w:rPr>
          <w:shd w:fill="FFFF00" w:val="clear"/>
        </w:rPr>
        <w:t xml:space="preserve">(48 - (26 + 4 second matches)) &lt;cite Koh 2925). </w:t>
      </w:r>
    </w:p>
    <w:p>
      <w:pPr>
        <w:pStyle w:val="normalfirst"/>
        <w:rPr>
          <w:shd w:fill="FFFF00" w:val="clear"/>
        </w:rPr>
      </w:pPr>
      <w:r>
        <w:rPr>
          <w:shd w:fill="FFFF00" w:val="clear"/>
        </w:rPr>
        <w:t>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pPr>
        <w:pStyle w:val="normalfirst"/>
        <w:rPr/>
      </w:pPr>
      <w:r>
        <w:rPr/>
      </w:r>
    </w:p>
    <w:p>
      <w:pPr>
        <w:pStyle w:val="Heading2"/>
        <w:rPr/>
      </w:pPr>
      <w:r>
        <w:rPr/>
        <w:t>Signature activity</w:t>
      </w:r>
    </w:p>
    <w:p>
      <w:pPr>
        <w:pStyle w:val="Normal"/>
        <w:rPr/>
      </w:pPr>
      <w:r>
        <w:rPr/>
        <w:t xml:space="preserve">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bookmarkStart w:id="16" w:name="ZOTERO_BREF_Icd6wZN2C4n7"/>
      <w:r>
        <w:rPr/>
        <w:t>(Jiang et al. 2024)</w:t>
      </w:r>
      <w:bookmarkEnd w:id="16"/>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rPr/>
        <w:t>).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FFFF00" w:val="clear"/>
        </w:rPr>
        <w:t>InsDelx24b/InsDel_Aβ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Hx_ID33/ID_J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SimSun"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SimSun" w:hint="eastAsia"/>
        </w:rPr>
        <w:t>ID_J and ID_N</w:t>
      </w:r>
      <w:r>
        <w:rPr/>
        <w:t xml:space="preserve">) having enriched mutations on the un-transcribed strand, and two of them (C_ID7 and </w:t>
      </w:r>
      <w:r>
        <w:rPr>
          <w:rFonts w:eastAsia="SimSun"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SimSun" w:hint="eastAsia"/>
        </w:rPr>
        <w:t>ID_K</w:t>
      </w:r>
      <w:r>
        <w:rPr/>
        <w:t xml:space="preserve">) or on the lagging strand (C_ID7 and </w:t>
      </w:r>
      <w:r>
        <w:rPr>
          <w:rFonts w:eastAsia="SimSun"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SimSun" w:hint="eastAsia"/>
        </w:rPr>
        <w:t xml:space="preserve">ID_F </w:t>
      </w:r>
      <w:r>
        <w:rPr/>
        <w:t xml:space="preserve">(TOP1-mediated mutagenesis), </w:t>
      </w:r>
      <w:r>
        <w:rPr>
          <w:rFonts w:hint="eastAsia"/>
        </w:rPr>
        <w:t>a</w:t>
      </w:r>
      <w:r>
        <w:rPr/>
        <w:t xml:space="preserve">nd 3 defective MMR signatures (C_ID7, </w:t>
      </w:r>
      <w:r>
        <w:rPr>
          <w:rFonts w:eastAsia="SimSun" w:hint="eastAsia"/>
        </w:rPr>
        <w:t>ID_J</w:t>
      </w:r>
      <w:r>
        <w:rPr/>
        <w:t xml:space="preserve"> and </w:t>
      </w:r>
      <w:r>
        <w:rPr>
          <w:rFonts w:eastAsia="SimSun" w:hint="eastAsia"/>
        </w:rPr>
        <w:t>ID_N</w:t>
      </w:r>
      <w:r>
        <w:rPr/>
        <w:t xml:space="preserve">). Another 3 signatures with mutation enriched in genic regions were of unknown etiology (C_ID10, </w:t>
      </w:r>
      <w:r>
        <w:rPr>
          <w:rFonts w:eastAsia="SimSun" w:hint="eastAsia"/>
        </w:rPr>
        <w:t>ID_G</w:t>
      </w:r>
      <w:r>
        <w:rPr/>
        <w:t xml:space="preserve">, </w:t>
      </w:r>
      <w:r>
        <w:rPr>
          <w:rFonts w:eastAsia="SimSun"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SimSun" w:hint="eastAsia"/>
        </w:rPr>
        <w:t>ID_J</w:t>
      </w:r>
      <w:r>
        <w:rPr/>
        <w:t xml:space="preserve"> and </w:t>
      </w:r>
      <w:r>
        <w:rPr>
          <w:rFonts w:eastAsia="SimSun" w:hint="eastAsia"/>
        </w:rPr>
        <w:t>ID_K</w:t>
      </w:r>
      <w:r>
        <w:rPr/>
        <w:t xml:space="preserve"> showed enriched mutations in early replication regions in breast cancer, while </w:t>
      </w:r>
      <w:r>
        <w:rPr>
          <w:rFonts w:eastAsia="SimSun" w:hint="eastAsia"/>
        </w:rPr>
        <w:t>ID_N</w:t>
      </w:r>
      <w:r>
        <w:rPr/>
        <w:t xml:space="preserve"> and </w:t>
      </w:r>
      <w:r>
        <w:rPr>
          <w:rFonts w:eastAsia="SimSun"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SimSun"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bookmarkStart w:id="17" w:name="ZOTERO_BREF_HAsxUjHZcJ4v"/>
      <w:r>
        <w:rPr>
          <w:b w:val="false"/>
          <w:i w:val="false"/>
          <w:caps w:val="false"/>
          <w:smallCaps w:val="false"/>
          <w:position w:val="0"/>
          <w:sz w:val="24"/>
          <w:u w:val="none"/>
          <w:vertAlign w:val="baseline"/>
        </w:rPr>
        <w:t>(Martínez-Jiménez et al. 2023; Bavi et al. 2020)</w:t>
      </w:r>
      <w:bookmarkEnd w:id="17"/>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Hx_ID33/ID_J</w:t>
      </w:r>
      <w:r>
        <w:rPr/>
        <w:t xml:space="preserve"> and </w:t>
      </w:r>
      <w:r>
        <w:rPr>
          <w:shd w:fill="FFFF00" w:val="clear"/>
        </w:rPr>
        <w:t>Hx_ID37/ID_N</w:t>
      </w:r>
      <w:r>
        <w:rPr/>
        <w:t xml:space="preserve"> (</w:t>
      </w:r>
      <w:r>
        <w:rPr>
          <w:shd w:fill="FFFF00" w:val="clear"/>
        </w:rPr>
        <w:t>InsDelx33&lt;fix&gt; &lt;InsDel_J or InsDel_N?&gt;</w:t>
      </w:r>
      <w:r>
        <w:rPr>
          <w:rFonts w:hint="eastAsia"/>
        </w:rPr>
        <w:t>, Figure 7C</w:t>
      </w:r>
      <w:r>
        <w:rPr/>
        <w:t xml:space="preserve">), </w:t>
      </w:r>
      <w:r>
        <w:rPr>
          <w:shd w:fill="FFFF00" w:val="clear"/>
        </w:rPr>
        <w:t>Hx_ID34/ID_K</w:t>
      </w:r>
      <w:r>
        <w:rPr/>
        <w:t xml:space="preserve"> </w:t>
      </w:r>
      <w:r>
        <w:rPr>
          <w:shd w:fill="FFFF00" w:val="clear"/>
        </w:rPr>
        <w:t>(InsxDel34</w:t>
      </w:r>
      <w:r>
        <w:rPr>
          <w:rFonts w:hint="eastAsia"/>
          <w:shd w:fill="FFFF00" w:val="clear"/>
        </w:rPr>
        <w:t>, InsDel_Kα/InsDel_Kβ?&gt;</w:t>
      </w:r>
      <w:r>
        <w:rPr>
          <w:rFonts w:hint="eastAsia"/>
        </w:rPr>
        <w:t>Figure 7D</w:t>
      </w:r>
      <w:r>
        <w:rPr/>
        <w:t xml:space="preserve">), and </w:t>
      </w:r>
      <w:r>
        <w:rPr>
          <w:shd w:fill="FFFF00" w:val="clear"/>
        </w:rPr>
        <w:t>Hx_ID38/ID_O (InsDelx38/InsDel_O)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Hx_ID33/ID_J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Hx_ID38/ID_O</w:t>
      </w:r>
      <w:r>
        <w:rPr/>
        <w:t xml:space="preserve"> is mainly characterized by insertions—specifically 1 bp and 2 bp events at long repeats. This signature is associated with two scenarios: in samples with low C_ID2 activity, </w:t>
      </w:r>
      <w:r>
        <w:rPr>
          <w:shd w:fill="FFFF00" w:val="clear"/>
        </w:rPr>
        <w:t>Hx_ID38/ID_O</w:t>
      </w:r>
      <w:r>
        <w:rPr/>
        <w:t xml:space="preserve"> predominantly involves TT insertions; in samples with low, but not depleted, C_ID2 activity, </w:t>
      </w:r>
      <w:r>
        <w:rPr>
          <w:shd w:fill="FFFF00" w:val="clear"/>
        </w:rPr>
        <w:t>Hx_ID38/ID_O</w:t>
      </w:r>
      <w:r>
        <w:rPr/>
        <w:t xml:space="preserve"> shows a higher proportion of AT/TA insertions (Figure S</w:t>
      </w:r>
      <w:r>
        <w:rPr>
          <w:rFonts w:hint="eastAsia"/>
        </w:rPr>
        <w:t>6F</w:t>
      </w:r>
      <w:r>
        <w:rPr/>
        <w:t xml:space="preserve">). Among the five MSI-associated signatures, only </w:t>
      </w:r>
      <w:r>
        <w:rPr>
          <w:shd w:fill="FFFF00" w:val="clear"/>
        </w:rPr>
        <w:t>Hx_ID38/ID_O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rPr/>
      </w:pPr>
      <w:r>
        <w:rPr/>
        <w:t xml:space="preserve">A novel ID-TOP1 signature </w:t>
      </w:r>
      <w:r>
        <w:rPr>
          <w:shd w:fill="FFFF00" w:val="clear"/>
        </w:rPr>
        <w:t>&lt;</w:t>
      </w:r>
      <w:r>
        <w:rPr>
          <w:shd w:fill="FFFF00" w:val="clear"/>
        </w:rPr>
        <w:t xml:space="preserve">moved to a separate document for editing </w:t>
      </w:r>
      <w:r>
        <w:rPr>
          <w:shd w:fill="FFFF00" w:val="clear"/>
        </w:rPr>
        <w:t>DO NOT EDIT THIS HERE</w:t>
      </w:r>
      <w:r>
        <w:rPr>
          <w:shd w:fill="FFFF00" w:val="clear"/>
        </w:rPr>
        <w:t>&gt;</w:t>
      </w:r>
    </w:p>
    <w:p>
      <w:pPr>
        <w:pStyle w:val="Normal"/>
        <w:rPr>
          <w:strike/>
        </w:rPr>
      </w:pPr>
      <w:r>
        <w:rPr>
          <w:strike/>
        </w:rPr>
        <w:t xml:space="preserve">We identified a novel pair of mutational signatures, ID_F and InsDel_F, both characterized by 1–3 bp deletions from two repeats or microhomology, with strong support from both PCAWG and HMF samples (Figure </w:t>
      </w:r>
      <w:r>
        <w:rPr>
          <w:rFonts w:hint="eastAsia"/>
          <w:strike/>
        </w:rPr>
        <w:t>8</w:t>
      </w:r>
      <w:r>
        <w:rPr>
          <w:strike/>
        </w:rPr>
        <w:t xml:space="preserve">A, </w:t>
      </w:r>
      <w:r>
        <w:rPr>
          <w:rFonts w:hint="eastAsia"/>
          <w:strike/>
        </w:rPr>
        <w:t>Figure S7</w:t>
      </w:r>
      <w:r>
        <w:rPr>
          <w:strike/>
        </w:rPr>
        <w:t>). Notably, two PCAWG samples exhibited high Hx_ID29/ID_F activity: a skin melanoma genome (SP103894) with 3,772 Hx_ID29/ID_F mutations, and a breast cancer genome (SP5559) with 949 ID_F mutations</w:t>
      </w:r>
      <w:r>
        <w:rPr>
          <w:rFonts w:hint="eastAsia"/>
          <w:strike/>
        </w:rPr>
        <w:t xml:space="preserve"> (Figure S7B)</w:t>
      </w:r>
      <w:r>
        <w:rPr>
          <w:strike/>
        </w:rPr>
        <w:t xml:space="preserve">. The inclusion of additional samples enabled the detection of these rare signatures within the PCAWG dataset. Importantly, previous analyses often failed to extract ID4 and ID_F simultaneously, </w:t>
      </w:r>
      <w:r>
        <w:rPr>
          <w:strike/>
          <w:shd w:fill="FFFF00" w:val="clear"/>
        </w:rPr>
        <w:t xml:space="preserve">&lt;steve soften this&gt; </w:t>
      </w:r>
      <w:r>
        <w:rPr>
          <w:strike/>
        </w:rPr>
        <w:t xml:space="preserve">and frequently misclassified ID4 as generated by ID-TOP1-TAM </w:t>
      </w:r>
      <w:bookmarkStart w:id="18" w:name="ZOTERO_BREF_xeDB1zkV4c3y"/>
      <w:r>
        <w:rPr>
          <w:strike/>
        </w:rPr>
        <w:t>(Jin et al. 2024; Koh et al. 2025a; Reijns et al. 2022)</w:t>
      </w:r>
      <w:bookmarkEnd w:id="18"/>
      <w:r>
        <w:rPr>
          <w:strike/>
        </w:rPr>
        <w:t xml:space="preserve">. Here, for the first time, we identified C_ID4 and ID_F, along with their corresponding 89-type representations (InsDel4a, InsDel4b, and InsDel_F), using a de novo extraction approach. Compared to C_ID4, 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strike/>
        </w:rPr>
        <w:t>L(3,):U(3,):R(2,9)</w:t>
      </w:r>
      <w:r>
        <w:rPr>
          <w:strike/>
        </w:rPr>
        <w:t xml:space="preserve">, while InsDelx29/InsDel_F is dominated by the peak at </w:t>
      </w:r>
      <w:r>
        <w:rPr>
          <w:i/>
          <w:iCs/>
          <w:strike/>
        </w:rPr>
        <w:t>L(2,8):U(1,2):R(2,4)</w:t>
      </w:r>
      <w:r>
        <w:rPr>
          <w:strike/>
        </w:rPr>
        <w:t>.</w:t>
      </w:r>
    </w:p>
    <w:p>
      <w:pPr>
        <w:pStyle w:val="Normal"/>
        <w:rPr>
          <w:strike/>
        </w:rPr>
      </w:pPr>
      <w:r>
        <w:rPr>
          <w:strike/>
        </w:rPr>
        <w:t>Because 89-type analysis is currently limited to human genomes (Koh et al., 2025), and due to the strong resemblance between InDel29 and InDel4a</w:t>
      </w:r>
      <w:r>
        <w:rPr>
          <w:rFonts w:hint="eastAsia"/>
          <w:strike/>
        </w:rPr>
        <w:t>/4b</w:t>
      </w:r>
      <w:r>
        <w:rPr>
          <w:strike/>
        </w:rPr>
        <w:t xml:space="preserve"> and their corresponding </w:t>
      </w:r>
      <w:r>
        <w:rPr>
          <w:rFonts w:hint="eastAsia"/>
          <w:strike/>
        </w:rPr>
        <w:t>83-type</w:t>
      </w:r>
      <w:r>
        <w:rPr>
          <w:strike/>
        </w:rPr>
        <w:t xml:space="preserve"> signatures, we focused </w:t>
      </w:r>
      <w:r>
        <w:rPr>
          <w:rFonts w:hint="eastAsia"/>
          <w:strike/>
        </w:rPr>
        <w:t xml:space="preserve">most of </w:t>
      </w:r>
      <w:r>
        <w:rPr>
          <w:strike/>
        </w:rPr>
        <w:t>our subsequent analyses specifically on ID_F.</w:t>
      </w:r>
      <w:r>
        <w:rPr>
          <w:rFonts w:hint="eastAsia"/>
          <w:strike/>
        </w:rPr>
        <w:t xml:space="preserve"> </w:t>
      </w:r>
      <w:r>
        <w:rPr>
          <w:strike/>
        </w:rPr>
        <w:t>Upon re-examining the rnh201Δ</w:t>
      </w:r>
      <w:r>
        <w:rPr>
          <w:rFonts w:hint="eastAsia"/>
          <w:strike/>
        </w:rPr>
        <w:t xml:space="preserve"> </w:t>
      </w:r>
      <w:r>
        <w:rPr>
          <w:i/>
          <w:iCs/>
          <w:strike/>
        </w:rPr>
        <w:t>Saccharomyces cerevisiae</w:t>
      </w:r>
      <w:r>
        <w:rPr>
          <w:strike/>
        </w:rPr>
        <w:t xml:space="preserve"> genomes, we observed 2 bp deletion patterns similar to those of ID_F, although deletions within microhomology were depleted (Williams et al. 2019; Conover et al. 2015</w:t>
      </w:r>
      <w:r>
        <w:rPr>
          <w:rFonts w:hint="eastAsia"/>
          <w:strike/>
        </w:rPr>
        <w:t>, Figures S8</w:t>
      </w:r>
      <w:r>
        <w:rPr>
          <w:strike/>
        </w:rPr>
        <w:t>).</w:t>
      </w:r>
      <w:r>
        <w:rPr>
          <w:rFonts w:hint="eastAsia"/>
          <w:strike/>
        </w:rPr>
        <w:t xml:space="preserve"> </w:t>
      </w:r>
      <w:r>
        <w:rPr>
          <w:strike/>
          <w:shd w:fill="FFD8CE" w:val="clear"/>
        </w:rPr>
        <w:t>We established an RNASEH2B deficiency model using the CRISPR/Cas9 system in the HEK293T cell line, and whole genome sequencing revealed patterns consistent with Hx_ID29/ID_F</w:t>
      </w:r>
      <w:r>
        <w:rPr>
          <w:rFonts w:hint="eastAsia"/>
          <w:strike/>
          <w:shd w:fill="FFD8CE" w:val="clear"/>
        </w:rPr>
        <w:t xml:space="preserve"> and InsDelx29/InsDel_F</w:t>
      </w:r>
      <w:r>
        <w:rPr>
          <w:strike/>
          <w:shd w:fill="FFD8CE" w:val="clear"/>
        </w:rPr>
        <w:t xml:space="preserve"> (Figure </w:t>
      </w:r>
      <w:r>
        <w:rPr>
          <w:rFonts w:hint="eastAsia"/>
          <w:strike/>
          <w:shd w:fill="FFD8CE" w:val="clear"/>
        </w:rPr>
        <w:t>8B</w:t>
      </w:r>
      <w:r>
        <w:rPr>
          <w:strike/>
          <w:shd w:fill="FFD8CE" w:val="clear"/>
        </w:rPr>
        <w:t>).</w:t>
      </w:r>
      <w:r>
        <w:rPr>
          <w:strike/>
        </w:rPr>
        <w:t xml:space="preserve"> The primary peak predominantly represents the deletion of CT from 5’-CTCT-3’ (or AG from 5’-AGAG-3’), as indicated by the extended sequence analysis of RNASEH2B-KO cell lines and </w:t>
      </w:r>
      <w:r>
        <w:rPr>
          <w:rFonts w:hint="eastAsia"/>
          <w:strike/>
        </w:rPr>
        <w:t xml:space="preserve">the </w:t>
      </w:r>
      <w:r>
        <w:rPr>
          <w:strike/>
        </w:rPr>
        <w:t xml:space="preserve">five </w:t>
      </w:r>
      <w:r>
        <w:rPr>
          <w:rFonts w:hint="eastAsia"/>
          <w:strike/>
        </w:rPr>
        <w:t>genomes</w:t>
      </w:r>
      <w:r>
        <w:rPr>
          <w:strike/>
        </w:rPr>
        <w:t xml:space="preserve"> exhibiting the highest ID_F activity.</w:t>
      </w:r>
      <w:r>
        <w:rPr>
          <w:rFonts w:hint="eastAsia"/>
          <w:strike/>
        </w:rPr>
        <w:t xml:space="preserve"> The weights of each </w:t>
      </w:r>
      <w:r>
        <w:rPr>
          <w:strike/>
        </w:rPr>
        <w:t>nucleotide</w:t>
      </w:r>
      <w:r>
        <w:rPr>
          <w:rFonts w:hint="eastAsia"/>
          <w:strike/>
        </w:rPr>
        <w:t xml:space="preserve"> on each position </w:t>
      </w:r>
      <w:r>
        <w:rPr>
          <w:strike/>
        </w:rPr>
        <w:t>suggest</w:t>
      </w:r>
      <w:r>
        <w:rPr>
          <w:rFonts w:hint="eastAsia"/>
          <w:strike/>
        </w:rPr>
        <w:t xml:space="preserve"> a preference of CTCT(deletion from repeats) or NTNT (deletion with microhomology) sequences at deletion sites for ID_F, while NTNT (deletion from repeats) and CTNT (deletion from microhomology) at deletion sites for C_ID4 (Figure 8C). T</w:t>
      </w:r>
      <w:r>
        <w:rPr>
          <w:strike/>
        </w:rPr>
        <w:t>umors exhibiting high Hx_ID29/ID_F activity show deletion sequences that closely resemble those observed in RNASEH2B null HEK293T cells, as well as in Rnaseh2b knockout mouse tumors and RNaseH2</w:t>
      </w:r>
      <w:r>
        <w:rPr>
          <w:rFonts w:hint="eastAsia"/>
          <w:strike/>
        </w:rPr>
        <w:t>-</w:t>
      </w:r>
      <w:r>
        <w:rPr>
          <w:strike/>
        </w:rPr>
        <w:t>null RPE1 cells (Figure</w:t>
      </w:r>
      <w:r>
        <w:rPr>
          <w:rFonts w:hint="eastAsia"/>
          <w:strike/>
        </w:rPr>
        <w:t xml:space="preserve"> S6, Figure S9</w:t>
      </w:r>
      <w:r>
        <w:rPr>
          <w:strike/>
        </w:rPr>
        <w:t>). In contrast, C_ID4 displays a more balanced preference for deleting CT and TT within tandem repeats, with a prevalent CTNTN motif found in microhomologies (</w:t>
      </w:r>
      <w:r>
        <w:rPr>
          <w:rFonts w:hint="eastAsia"/>
          <w:strike/>
        </w:rPr>
        <w:t xml:space="preserve">Figure 8C, </w:t>
      </w:r>
      <w:r>
        <w:rPr>
          <w:strike/>
        </w:rPr>
        <w:t>Figure</w:t>
      </w:r>
      <w:r>
        <w:rPr>
          <w:rFonts w:hint="eastAsia"/>
          <w:strike/>
        </w:rPr>
        <w:t xml:space="preserve"> S9</w:t>
      </w:r>
      <w:r>
        <w:rPr>
          <w:strike/>
        </w:rPr>
        <w:t>).</w:t>
      </w:r>
    </w:p>
    <w:p>
      <w:pPr>
        <w:pStyle w:val="Normal"/>
        <w:rPr>
          <w:strike/>
        </w:rPr>
      </w:pPr>
      <w:r>
        <w:rPr>
          <w:strike/>
        </w:rPr>
        <w:t xml:space="preserve">Collectively, </w:t>
      </w:r>
      <w:r>
        <w:rPr>
          <w:rFonts w:hint="eastAsia"/>
          <w:strike/>
        </w:rPr>
        <w:t>our analysis</w:t>
      </w:r>
      <w:r>
        <w:rPr>
          <w:strike/>
        </w:rPr>
        <w:t xml:space="preserve"> presents ID_F </w:t>
      </w:r>
      <w:r>
        <w:rPr>
          <w:rFonts w:hint="eastAsia"/>
          <w:strike/>
        </w:rPr>
        <w:t xml:space="preserve">and InsDel_F </w:t>
      </w:r>
      <w:r>
        <w:rPr>
          <w:strike/>
        </w:rPr>
        <w:t xml:space="preserve">as </w:t>
      </w:r>
      <w:r>
        <w:rPr>
          <w:rFonts w:hint="eastAsia"/>
          <w:strike/>
        </w:rPr>
        <w:t>two</w:t>
      </w:r>
      <w:r>
        <w:rPr>
          <w:strike/>
        </w:rPr>
        <w:t xml:space="preserve"> novel mutational signatures identified through de novo extraction from cancer genomic dat</w:t>
      </w:r>
      <w:r>
        <w:rPr>
          <w:rFonts w:hint="eastAsia"/>
          <w:strike/>
        </w:rPr>
        <w:t>a, su</w:t>
      </w:r>
      <w:r>
        <w:rPr>
          <w:strike/>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strike/>
        </w:rPr>
        <w:t>, Figure S9B, C</w:t>
      </w:r>
      <w:r>
        <w:rPr>
          <w:strike/>
        </w:rPr>
        <w:t>). Our findings indicate that 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strike/>
        </w:rPr>
        <w:t>Figure S8 B-D</w:t>
      </w:r>
      <w:r>
        <w:rPr>
          <w:strike/>
        </w:rPr>
        <w:t xml:space="preserve">). </w:t>
      </w:r>
      <w:r>
        <w:rPr>
          <w:rFonts w:hint="eastAsia"/>
          <w:strike/>
        </w:rPr>
        <w:t xml:space="preserve">Compared to ID4, ID_F shows </w:t>
      </w:r>
      <w:r>
        <w:rPr>
          <w:strike/>
        </w:rPr>
        <w:t>an</w:t>
      </w:r>
      <w:r>
        <w:rPr>
          <w:rFonts w:hint="eastAsia"/>
          <w:strike/>
        </w:rPr>
        <w:t xml:space="preserve"> almost depletion of long deletions (deletion length≥3) at repeats and microhomologies (Figure S6A). ID_F contributes to more mutations </w:t>
      </w:r>
      <w:r>
        <w:rPr>
          <w:strike/>
        </w:rPr>
        <w:t xml:space="preserve">in </w:t>
      </w:r>
      <w:r>
        <w:rPr>
          <w:rFonts w:hint="eastAsia"/>
          <w:strike/>
        </w:rPr>
        <w:t xml:space="preserve">transcribed regions compared to untranscribed regions, which is also observed in RNase H2 null in vitro models (Figure 8D). The consistent observations </w:t>
      </w:r>
      <w:r>
        <w:rPr>
          <w:strike/>
        </w:rPr>
        <w:t>suggest</w:t>
      </w:r>
      <w:r>
        <w:rPr>
          <w:rFonts w:hint="eastAsia"/>
          <w:strike/>
        </w:rPr>
        <w:t xml:space="preserve"> ID_F is associated with a transcription associated mutational process. </w:t>
      </w:r>
      <w:r>
        <w:rPr>
          <w:strike/>
        </w:rPr>
        <w:t>ID_F</w:t>
      </w:r>
      <w:r>
        <w:rPr>
          <w:rFonts w:hint="eastAsia"/>
          <w:strike/>
        </w:rPr>
        <w:t xml:space="preserve"> and InsDel_F</w:t>
      </w:r>
      <w:r>
        <w:rPr>
          <w:strike/>
        </w:rPr>
        <w:t xml:space="preserve"> provides a more accurate representation of the genomic footprints associated with TOP1-TAM (transcription-associated mutagenesis) during the cleavage of embedded ribonucleotides in the absence of RNASEH2A and/or RNASEH2B </w:t>
      </w:r>
      <w:r>
        <w:rPr>
          <w:strike/>
          <w:shd w:fill="FFFF00" w:val="clear"/>
        </w:rPr>
        <w:t>&lt;</w:t>
      </w:r>
      <w:r>
        <w:rPr>
          <w:strike/>
          <w:shd w:fill="FFFF00" w:val="clear"/>
        </w:rPr>
        <w:t>these are not in the bibliography&gt;</w:t>
      </w:r>
      <w:r>
        <w:rPr>
          <w:strike/>
        </w:rPr>
        <w:t xml:space="preserve"> </w:t>
      </w:r>
      <w:r>
        <w:rPr>
          <w:strike/>
        </w:rPr>
        <w:t>(S. N. Huang, Ghosh, and Pommier 2015; Sparks and Burgers 2015; Chon et al. 2009).</w:t>
      </w:r>
    </w:p>
    <w:p>
      <w:pPr>
        <w:pStyle w:val="Heading2"/>
        <w:rPr/>
      </w:pPr>
      <w:r>
        <w:rPr/>
        <w:t xml:space="preserve">Functional and Demographic Associations </w:t>
      </w:r>
    </w:p>
    <w:p>
      <w:pPr>
        <w:pStyle w:val="Normal"/>
        <w:rPr/>
      </w:pPr>
      <w:r>
        <w:rPr>
          <w:shd w:fill="FFFF00" w:val="clear"/>
        </w:rPr>
        <w:t>&lt;this section is related to figure 9 and sup fig 10 which mo will remove&gt;</w:t>
      </w: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(Hx_ID29/ID_F, InsDelx29/InsDel_F)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r>
        <w:rPr>
          <w:rFonts w:hint="eastAsia"/>
          <w:shd w:fill="FFFF00" w:val="clear"/>
        </w:rPr>
        <w:t>&lt;end of section is related to figure 9 and sup fig 10 which mo will remove&gt;</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r>
    </w:p>
    <w:p>
      <w:pPr>
        <w:pStyle w:val="Normal"/>
        <w:rPr/>
      </w:pPr>
      <w:r>
        <w:rPr/>
      </w:r>
    </w:p>
    <w:p>
      <w:pPr>
        <w:pStyle w:val="Normal"/>
        <w:rPr/>
      </w:pPr>
      <w:r>
        <w:rPr/>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hanging="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rPr/>
      </w:pPr>
      <w:r>
        <w:rPr/>
        <w:t>Signature attribution analysis</w:t>
      </w:r>
    </w:p>
    <w:p>
      <w:pPr>
        <w:pStyle w:val="normalfirst"/>
        <w:rPr/>
      </w:pPr>
      <w:r>
        <w:rPr/>
        <w:t xml:space="preserve">The </w:t>
      </w:r>
      <w:r>
        <w:rPr>
          <w:rFonts w:hint="eastAsia"/>
        </w:rPr>
        <w:t>83-type and 89-type</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rPr/>
      </w:pPr>
      <w:r>
        <w:rPr/>
        <w:t>Simulating synthetic cancer datasets</w:t>
      </w:r>
    </w:p>
    <w:p>
      <w:pPr>
        <w:pStyle w:val="normalfirst"/>
        <w:rPr/>
      </w:pPr>
      <w:r>
        <w:rPr/>
        <w:t>Synthetic cancer datasets were simulated using SigProfilerSimulator (</w:t>
      </w:r>
      <w:hyperlink r:id="rId6">
        <w:r>
          <w:rPr>
            <w:rStyle w:val="Hyperlink"/>
          </w:rPr>
          <w:t>https://bmcbioinformatics.biomedcentral.com/articles/10.1186/s12859-020-03772-3</w:t>
        </w:r>
      </w:hyperlink>
      <w:r>
        <w:rPr/>
        <w:t xml:space="preserve">). </w:t>
      </w:r>
    </w:p>
    <w:p>
      <w:pPr>
        <w:pStyle w:val="Heading2"/>
        <w:rPr/>
      </w:pPr>
      <w:r>
        <w:rPr/>
        <w:t>Annotating somatic indels based on transcribed versus un-transcribed strand</w:t>
      </w:r>
    </w:p>
    <w:p>
      <w:pPr>
        <w:pStyle w:val="normalfirst"/>
        <w:rPr/>
      </w:pPr>
      <w:r>
        <w:rPr/>
        <w:t>We followed the method in (</w:t>
      </w:r>
      <w:hyperlink r:id="rId7">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8">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pPr>
      <w:r>
        <w:rPr/>
        <w:t>Analyses of replication timing across cancer types</w:t>
      </w:r>
    </w:p>
    <w:p>
      <w:pPr>
        <w:pStyle w:val="normalfirst"/>
        <w:rPr/>
      </w:pPr>
      <w:r>
        <w:rPr/>
        <w:t>Replication timing data were obtained from (</w:t>
      </w:r>
      <w:hyperlink r:id="rId9">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SimSun"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SimSun" w:cs="SimSun" w:hint="eastAsia" w:ascii="SimSun" w:hAnsi="SimSun"/>
        </w:rPr>
        <w:t>(</w:t>
      </w:r>
      <w:r>
        <w:rPr/>
        <w:t>JCYJ20250604174809012</w:t>
      </w:r>
      <w:r>
        <w:rPr>
          <w:rFonts w:eastAsia="SimSun"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9"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Bavi, Prashant, Stephen B. Baylin, Wojciech Bazant, et al. 2020. ‘Pan-Cancer Analysis of Whole Genomes’. </w:t>
      </w:r>
      <w:r>
        <w:rPr>
          <w:i/>
        </w:rPr>
        <w:t>Nature</w:t>
      </w:r>
      <w:r>
        <w:rPr/>
        <w:t xml:space="preserve"> 578 (7793): 82–93. https://doi.org/10.1038/s41586-020-1969-6.</w:t>
      </w:r>
    </w:p>
    <w:p>
      <w:pPr>
        <w:pStyle w:val="Bibliography1"/>
        <w:rPr/>
      </w:pPr>
      <w:r>
        <w:rPr/>
        <w:t xml:space="preserve">Boot, Arnoud, Mi Ni Huang, Alvin W.T.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Jiang, Nanhai, Yang Wu, and Steven G Rozen. 2024. ‘A New Approach to the Challenging Problem of Mutational Signature Attribution’. </w:t>
      </w:r>
      <w:r>
        <w:rPr>
          <w:i/>
        </w:rPr>
        <w:t>bioRxiv</w:t>
      </w:r>
      <w:r>
        <w:rPr/>
        <w:t>, ahead of print. https://doi.org/10.1101/2024.05.20.594967.</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Martínez-Jiménez, Francisco, Ali Movasati, Sascha Remy Brunner, et al. 2023. ‘Pan-Cancer Whole-Genome Comparison of Primary and Metastatic Solid Tumours’. </w:t>
      </w:r>
      <w:r>
        <w:rPr>
          <w:i/>
        </w:rPr>
        <w:t>Nature</w:t>
      </w:r>
      <w:r>
        <w:rPr/>
        <w:t xml:space="preserve"> 618 (7964): 333–41. https://doi.org/10.1038/s41586-023-06054-z.</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9"/>
    </w:p>
    <w:p>
      <w:pPr>
        <w:pStyle w:val="Normal"/>
        <w:spacing w:before="0" w:after="160"/>
        <w:rPr/>
      </w:pPr>
      <w:r>
        <w:rPr/>
      </w:r>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Courier New">
    <w:charset w:val="01"/>
    <w:family w:val="roman"/>
    <w:pitch w:val="variable"/>
  </w:font>
  <w:font w:name="SimSu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32</w:t>
    </w:r>
    <w:r>
      <w:rPr/>
      <w:fldChar w:fldCharType="end"/>
    </w:r>
  </w:p>
</w:ft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name w:val="Bibliography 1"/>
    <w:basedOn w:val="Index"/>
    <w:qFormat/>
    <w:pPr>
      <w:tabs>
        <w:tab w:val="clear" w:pos="720"/>
        <w:tab w:val="right" w:pos="9360"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bmcbioinformatics.biomedcentral.com/articles/10.1186/s12859-020-03772-3" TargetMode="External"/><Relationship Id="rId7" Type="http://schemas.openxmlformats.org/officeDocument/2006/relationships/hyperlink" Target="https://doi.org/10.1016/j.celrep.2023.112930" TargetMode="External"/><Relationship Id="rId8" Type="http://schemas.openxmlformats.org/officeDocument/2006/relationships/hyperlink" Target="https://hgdownload.cse.ucsc.edu/goldenPath/hg19/encodeDCC/wgEncodeUwRepliSeq/" TargetMode="External"/><Relationship Id="rId9" Type="http://schemas.openxmlformats.org/officeDocument/2006/relationships/hyperlink" Target="https://genomebiology.biomedcentral.com/articles/10.1186/s13059-018-1509-y"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184</TotalTime>
  <Application>LibreOffice/25.8.4.2$Linux_X86_64 LibreOffice_project/580$Build-2</Application>
  <AppVersion>15.0000</AppVersion>
  <Pages>33</Pages>
  <Words>7899</Words>
  <Characters>48445</Characters>
  <CharactersWithSpaces>56207</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2026-01-17T22:16:00Z</dcterms:created>
  <dc:creator>Mo Liu</dc:creator>
  <dc:description/>
  <dc:language>en-US</dc:language>
  <cp:lastModifiedBy/>
  <cp:lastPrinted>2025-06-06T09:23:00Z</cp:lastPrinted>
  <dcterms:modified xsi:type="dcterms:W3CDTF">2026-01-17T20:46:26Z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