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463DC5" w14:textId="77777777" w:rsidR="00205AD2" w:rsidRDefault="00205AD2" w:rsidP="00205AD2">
      <w:pPr>
        <w:pStyle w:val="Heading1"/>
      </w:pPr>
      <w:r>
        <w:t>Materials and methods</w:t>
      </w:r>
    </w:p>
    <w:p w14:paraId="61BC7A8B" w14:textId="77777777" w:rsidR="00205AD2" w:rsidRPr="00A13332" w:rsidRDefault="00205AD2" w:rsidP="00A13332">
      <w:pPr>
        <w:ind w:firstLine="0"/>
        <w:rPr>
          <w:b/>
          <w:bCs/>
        </w:rPr>
      </w:pPr>
      <w:r w:rsidRPr="00A13332">
        <w:rPr>
          <w:b/>
          <w:bCs/>
        </w:rPr>
        <w:t>Data sources</w:t>
      </w:r>
    </w:p>
    <w:p w14:paraId="16B60762" w14:textId="47C0245F" w:rsidR="00205AD2" w:rsidRDefault="00205AD2" w:rsidP="00205AD2">
      <w:pPr>
        <w:ind w:firstLine="0"/>
      </w:pPr>
      <w:r>
        <w:t>Somatic indel calls from the ICGC/TCGA (International Cancer Genome Consortium/The Cancer Genome Atlas) Pan-Cancer Analysis of Whole Genomes Consortium and associated clinical characteristics were obtained from the ICGC data portal (</w:t>
      </w:r>
      <w:hyperlink r:id="rId6">
        <w:r>
          <w:rPr>
            <w:rStyle w:val="Hyperlink"/>
          </w:rPr>
          <w:t>https://dcc.icgc.org/releases/current/Projects/</w:t>
        </w:r>
      </w:hyperlink>
      <w:r>
        <w:t xml:space="preserve">, which has been retired. The data </w:t>
      </w:r>
      <w:proofErr w:type="gramStart"/>
      <w:r>
        <w:t>were</w:t>
      </w:r>
      <w:proofErr w:type="gramEnd"/>
      <w:r>
        <w:t xml:space="preserve"> downloaded on 9 </w:t>
      </w:r>
      <w:proofErr w:type="gramStart"/>
      <w:r>
        <w:t>May,</w:t>
      </w:r>
      <w:proofErr w:type="gramEnd"/>
      <w:r>
        <w:t xml:space="preserve"> 2024. Hartwig Medical Foundation</w:t>
      </w:r>
      <w:r w:rsidR="000D1649">
        <w:rPr>
          <w:rFonts w:eastAsiaTheme="minorEastAsia" w:hint="eastAsia"/>
        </w:rPr>
        <w:t xml:space="preserve"> (Hartwig)</w:t>
      </w:r>
      <w:r>
        <w:t xml:space="preserve"> through standardized procedures and request forms that can be found at https://www.hartwigmedicalfoundation.nl/en/appyling-for-data/</w:t>
      </w:r>
      <w:r>
        <w:rPr>
          <w:rFonts w:hint="eastAsia"/>
        </w:rPr>
        <w:t>.</w:t>
      </w:r>
      <w:r>
        <w:t xml:space="preserve"> Clinical traits such as cancer type, age and gender of the </w:t>
      </w:r>
      <w:r w:rsidR="000D1649">
        <w:rPr>
          <w:rFonts w:eastAsiaTheme="minorEastAsia" w:hint="eastAsia"/>
        </w:rPr>
        <w:t>Hartwig</w:t>
      </w:r>
      <w:r w:rsidR="000D1649">
        <w:t xml:space="preserve"> </w:t>
      </w:r>
      <w:r>
        <w:t xml:space="preserve">genomes were found from supplementary files of </w:t>
      </w:r>
      <w:r>
        <w:rPr>
          <w:color w:val="000000"/>
        </w:rPr>
        <w:t>Priestley et al., 2019.</w:t>
      </w:r>
      <w:r>
        <w:t xml:space="preserve"> These data </w:t>
      </w:r>
      <w:proofErr w:type="gramStart"/>
      <w:r>
        <w:t>was</w:t>
      </w:r>
      <w:proofErr w:type="gramEnd"/>
      <w:r>
        <w:t xml:space="preserve"> also provided in Table S</w:t>
      </w:r>
      <w:r>
        <w:rPr>
          <w:rFonts w:hint="eastAsia"/>
        </w:rPr>
        <w:t xml:space="preserve">10 &lt;OF </w:t>
      </w:r>
      <w:proofErr w:type="spellStart"/>
      <w:r>
        <w:rPr>
          <w:rFonts w:hint="eastAsia"/>
        </w:rPr>
        <w:t>Prieslty</w:t>
      </w:r>
      <w:proofErr w:type="spellEnd"/>
      <w:r>
        <w:rPr>
          <w:rFonts w:hint="eastAsia"/>
        </w:rPr>
        <w:t>&gt;</w:t>
      </w:r>
      <w:r>
        <w:t xml:space="preserve">. The COSMIC Cancer Gene Census was used to identify known cancer driver genes </w:t>
      </w:r>
      <w:sdt>
        <w:sdtPr>
          <w:tag w:val="MENDELEY_CITATION_v3_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"/>
          <w:id w:val="91759893"/>
        </w:sdtPr>
        <w:sdtContent>
          <w:r>
            <w:rPr>
              <w:color w:val="000000"/>
            </w:rPr>
            <w:t>(</w:t>
          </w:r>
          <w:proofErr w:type="spellStart"/>
          <w:r>
            <w:rPr>
              <w:color w:val="000000"/>
            </w:rPr>
            <w:t>Sondka</w:t>
          </w:r>
          <w:proofErr w:type="spellEnd"/>
          <w:r>
            <w:rPr>
              <w:color w:val="000000"/>
            </w:rPr>
            <w:t xml:space="preserve"> et al., 2018</w:t>
          </w:r>
          <w:r>
            <w:rPr>
              <w:rFonts w:hint="eastAsia"/>
              <w:color w:val="000000"/>
            </w:rPr>
            <w:t xml:space="preserve">, downloaded from </w:t>
          </w:r>
          <w:hyperlink r:id="rId7">
            <w:r>
              <w:rPr>
                <w:rStyle w:val="Hyperlink"/>
              </w:rPr>
              <w:t>https://cancer.sanger.ac.uk/cosmic/census?tier=1</w:t>
            </w:r>
          </w:hyperlink>
          <w:r>
            <w:rPr>
              <w:rFonts w:hint="eastAsia"/>
              <w:color w:val="000000"/>
            </w:rPr>
            <w:t xml:space="preserve"> on 9 Jun, 2024</w:t>
          </w:r>
          <w:r>
            <w:rPr>
              <w:color w:val="000000"/>
            </w:rPr>
            <w:t>)</w:t>
          </w:r>
        </w:sdtContent>
      </w:sdt>
      <w:r>
        <w:t>.</w:t>
      </w:r>
    </w:p>
    <w:p w14:paraId="6045E8C1" w14:textId="07D7DC7A" w:rsidR="00205AD2" w:rsidRPr="00A13332" w:rsidRDefault="00A13332" w:rsidP="00A13332">
      <w:pPr>
        <w:ind w:firstLine="0"/>
        <w:rPr>
          <w:b/>
          <w:bCs/>
        </w:rPr>
      </w:pPr>
      <w:r w:rsidRPr="00324C54">
        <w:rPr>
          <w:rFonts w:eastAsiaTheme="minorEastAsia" w:hint="eastAsia"/>
          <w:b/>
          <w:bCs/>
          <w:i/>
          <w:iCs/>
        </w:rPr>
        <w:t xml:space="preserve">De </w:t>
      </w:r>
      <w:proofErr w:type="gramStart"/>
      <w:r w:rsidRPr="00324C54">
        <w:rPr>
          <w:rFonts w:eastAsiaTheme="minorEastAsia" w:hint="eastAsia"/>
          <w:b/>
          <w:bCs/>
          <w:i/>
          <w:iCs/>
        </w:rPr>
        <w:t>novo</w:t>
      </w:r>
      <w:proofErr w:type="gramEnd"/>
      <w:r>
        <w:rPr>
          <w:rFonts w:eastAsiaTheme="minorEastAsia" w:hint="eastAsia"/>
          <w:b/>
          <w:bCs/>
        </w:rPr>
        <w:t xml:space="preserve"> </w:t>
      </w:r>
      <w:r w:rsidR="00205AD2" w:rsidRPr="00A13332">
        <w:rPr>
          <w:b/>
          <w:bCs/>
        </w:rPr>
        <w:t>Mutational signature extraction</w:t>
      </w:r>
    </w:p>
    <w:p w14:paraId="220C92A5" w14:textId="77777777" w:rsidR="009613D6" w:rsidRPr="009613D6" w:rsidRDefault="009613D6" w:rsidP="009613D6">
      <w:pPr>
        <w:ind w:firstLine="0"/>
        <w:rPr>
          <w:rFonts w:eastAsiaTheme="minorEastAsia"/>
        </w:rPr>
      </w:pPr>
      <w:r w:rsidRPr="00324C54">
        <w:rPr>
          <w:rFonts w:eastAsiaTheme="minorEastAsia"/>
          <w:i/>
          <w:iCs/>
        </w:rPr>
        <w:t xml:space="preserve">De </w:t>
      </w:r>
      <w:proofErr w:type="gramStart"/>
      <w:r w:rsidRPr="00324C54">
        <w:rPr>
          <w:rFonts w:eastAsiaTheme="minorEastAsia"/>
          <w:i/>
          <w:iCs/>
        </w:rPr>
        <w:t>novo</w:t>
      </w:r>
      <w:proofErr w:type="gramEnd"/>
      <w:r w:rsidRPr="009613D6">
        <w:rPr>
          <w:rFonts w:eastAsiaTheme="minorEastAsia"/>
        </w:rPr>
        <w:t xml:space="preserve"> mutational signature extraction was performed using two complementary tools applied to the 83‑type, 89‑type, and 476‑type mutational spectra.</w:t>
      </w:r>
    </w:p>
    <w:p w14:paraId="79F339DD" w14:textId="77777777" w:rsidR="009613D6" w:rsidRPr="009613D6" w:rsidRDefault="009613D6" w:rsidP="009613D6">
      <w:pPr>
        <w:ind w:firstLine="0"/>
        <w:rPr>
          <w:rFonts w:eastAsiaTheme="minorEastAsia"/>
        </w:rPr>
      </w:pPr>
      <w:r w:rsidRPr="009613D6">
        <w:rPr>
          <w:rFonts w:eastAsiaTheme="minorEastAsia"/>
        </w:rPr>
        <w:t xml:space="preserve">For the hierarchical Dirichlet process–based approach, </w:t>
      </w:r>
      <w:proofErr w:type="spellStart"/>
      <w:r w:rsidRPr="009613D6">
        <w:rPr>
          <w:rFonts w:eastAsiaTheme="minorEastAsia"/>
        </w:rPr>
        <w:t>mSigHdp</w:t>
      </w:r>
      <w:proofErr w:type="spellEnd"/>
      <w:r w:rsidRPr="009613D6">
        <w:rPr>
          <w:rFonts w:eastAsiaTheme="minorEastAsia"/>
        </w:rPr>
        <w:t xml:space="preserve"> (v2.1.2) was used. When analyzing all samples, cancer type was used to define the hierarchical structure of the model. For analyses restricted to individual cancer types or to genomes with </w:t>
      </w:r>
      <w:r w:rsidRPr="009613D6">
        <w:rPr>
          <w:rFonts w:eastAsiaTheme="minorEastAsia"/>
        </w:rPr>
        <w:lastRenderedPageBreak/>
        <w:t xml:space="preserve">high tumor mutational burden, de novo signatures were extracted using two‑layer hierarchical Dirichlet process (HDP) mixture models. In all </w:t>
      </w:r>
      <w:proofErr w:type="spellStart"/>
      <w:r w:rsidRPr="009613D6">
        <w:rPr>
          <w:rFonts w:eastAsiaTheme="minorEastAsia"/>
        </w:rPr>
        <w:t>mSigHdp</w:t>
      </w:r>
      <w:proofErr w:type="spellEnd"/>
      <w:r w:rsidRPr="009613D6">
        <w:rPr>
          <w:rFonts w:eastAsiaTheme="minorEastAsia"/>
        </w:rPr>
        <w:t xml:space="preserve"> analyses, the following parameters were applied: </w:t>
      </w:r>
      <w:proofErr w:type="spellStart"/>
      <w:r w:rsidRPr="009613D6">
        <w:rPr>
          <w:rFonts w:eastAsiaTheme="minorEastAsia"/>
        </w:rPr>
        <w:t>seedNumber</w:t>
      </w:r>
      <w:proofErr w:type="spellEnd"/>
      <w:r w:rsidRPr="009613D6">
        <w:rPr>
          <w:rFonts w:eastAsiaTheme="minorEastAsia"/>
        </w:rPr>
        <w:t xml:space="preserve"> = 1234, </w:t>
      </w:r>
      <w:proofErr w:type="spellStart"/>
      <w:r w:rsidRPr="009613D6">
        <w:rPr>
          <w:rFonts w:eastAsiaTheme="minorEastAsia"/>
        </w:rPr>
        <w:t>burnin</w:t>
      </w:r>
      <w:proofErr w:type="spellEnd"/>
      <w:r w:rsidRPr="009613D6">
        <w:rPr>
          <w:rFonts w:eastAsiaTheme="minorEastAsia"/>
        </w:rPr>
        <w:t xml:space="preserve"> = 1000, </w:t>
      </w:r>
      <w:proofErr w:type="spellStart"/>
      <w:proofErr w:type="gramStart"/>
      <w:r w:rsidRPr="009613D6">
        <w:rPr>
          <w:rFonts w:eastAsiaTheme="minorEastAsia"/>
        </w:rPr>
        <w:t>burnin.multiplier</w:t>
      </w:r>
      <w:proofErr w:type="spellEnd"/>
      <w:proofErr w:type="gramEnd"/>
      <w:r w:rsidRPr="009613D6">
        <w:rPr>
          <w:rFonts w:eastAsiaTheme="minorEastAsia"/>
        </w:rPr>
        <w:t xml:space="preserve"> = 20, </w:t>
      </w:r>
      <w:proofErr w:type="spellStart"/>
      <w:proofErr w:type="gramStart"/>
      <w:r w:rsidRPr="009613D6">
        <w:rPr>
          <w:rFonts w:eastAsiaTheme="minorEastAsia"/>
        </w:rPr>
        <w:t>post.n</w:t>
      </w:r>
      <w:proofErr w:type="spellEnd"/>
      <w:proofErr w:type="gramEnd"/>
      <w:r w:rsidRPr="009613D6">
        <w:rPr>
          <w:rFonts w:eastAsiaTheme="minorEastAsia"/>
        </w:rPr>
        <w:t xml:space="preserve"> = 200, </w:t>
      </w:r>
      <w:proofErr w:type="spellStart"/>
      <w:proofErr w:type="gramStart"/>
      <w:r w:rsidRPr="009613D6">
        <w:rPr>
          <w:rFonts w:eastAsiaTheme="minorEastAsia"/>
        </w:rPr>
        <w:t>post.space</w:t>
      </w:r>
      <w:proofErr w:type="spellEnd"/>
      <w:proofErr w:type="gramEnd"/>
      <w:r w:rsidRPr="009613D6">
        <w:rPr>
          <w:rFonts w:eastAsiaTheme="minorEastAsia"/>
        </w:rPr>
        <w:t xml:space="preserve"> = 100, </w:t>
      </w:r>
      <w:proofErr w:type="spellStart"/>
      <w:proofErr w:type="gramStart"/>
      <w:r w:rsidRPr="009613D6">
        <w:rPr>
          <w:rFonts w:eastAsiaTheme="minorEastAsia"/>
        </w:rPr>
        <w:t>num.child</w:t>
      </w:r>
      <w:proofErr w:type="gramEnd"/>
      <w:r w:rsidRPr="009613D6">
        <w:rPr>
          <w:rFonts w:eastAsiaTheme="minorEastAsia"/>
        </w:rPr>
        <w:t>.process</w:t>
      </w:r>
      <w:proofErr w:type="spellEnd"/>
      <w:r w:rsidRPr="009613D6">
        <w:rPr>
          <w:rFonts w:eastAsiaTheme="minorEastAsia"/>
        </w:rPr>
        <w:t xml:space="preserve"> = 20, </w:t>
      </w:r>
      <w:proofErr w:type="spellStart"/>
      <w:proofErr w:type="gramStart"/>
      <w:r w:rsidRPr="009613D6">
        <w:rPr>
          <w:rFonts w:eastAsiaTheme="minorEastAsia"/>
        </w:rPr>
        <w:t>gamma.alpha</w:t>
      </w:r>
      <w:proofErr w:type="spellEnd"/>
      <w:proofErr w:type="gramEnd"/>
      <w:r w:rsidRPr="009613D6">
        <w:rPr>
          <w:rFonts w:eastAsiaTheme="minorEastAsia"/>
        </w:rPr>
        <w:t xml:space="preserve"> = 1, and </w:t>
      </w:r>
      <w:proofErr w:type="spellStart"/>
      <w:proofErr w:type="gramStart"/>
      <w:r w:rsidRPr="009613D6">
        <w:rPr>
          <w:rFonts w:eastAsiaTheme="minorEastAsia"/>
        </w:rPr>
        <w:t>gamma.beta</w:t>
      </w:r>
      <w:proofErr w:type="spellEnd"/>
      <w:proofErr w:type="gramEnd"/>
      <w:r w:rsidRPr="009613D6">
        <w:rPr>
          <w:rFonts w:eastAsiaTheme="minorEastAsia"/>
        </w:rPr>
        <w:t xml:space="preserve"> = 50. For analyses including all samples or genomes with high tumor mutational burden, an additional </w:t>
      </w:r>
      <w:proofErr w:type="spellStart"/>
      <w:r w:rsidRPr="009613D6">
        <w:rPr>
          <w:rFonts w:eastAsiaTheme="minorEastAsia"/>
        </w:rPr>
        <w:t>downsampling</w:t>
      </w:r>
      <w:proofErr w:type="spellEnd"/>
      <w:r w:rsidRPr="009613D6">
        <w:rPr>
          <w:rFonts w:eastAsiaTheme="minorEastAsia"/>
        </w:rPr>
        <w:t xml:space="preserve"> step was applied (</w:t>
      </w:r>
      <w:proofErr w:type="spellStart"/>
      <w:r w:rsidRPr="009613D6">
        <w:rPr>
          <w:rFonts w:eastAsiaTheme="minorEastAsia"/>
        </w:rPr>
        <w:t>downsample_threshold</w:t>
      </w:r>
      <w:proofErr w:type="spellEnd"/>
      <w:r w:rsidRPr="009613D6">
        <w:rPr>
          <w:rFonts w:eastAsiaTheme="minorEastAsia"/>
        </w:rPr>
        <w:t xml:space="preserve"> = 3000) to reduce computational time.</w:t>
      </w:r>
    </w:p>
    <w:p w14:paraId="27D7C97B" w14:textId="77777777" w:rsidR="00A13332" w:rsidRDefault="009613D6" w:rsidP="009613D6">
      <w:pPr>
        <w:ind w:firstLine="0"/>
        <w:rPr>
          <w:rFonts w:eastAsiaTheme="minorEastAsia"/>
        </w:rPr>
      </w:pPr>
      <w:r w:rsidRPr="009613D6">
        <w:rPr>
          <w:rFonts w:eastAsiaTheme="minorEastAsia"/>
        </w:rPr>
        <w:t xml:space="preserve">In parallel, de novo mutational signatures were extracted using </w:t>
      </w:r>
      <w:r>
        <w:rPr>
          <w:rFonts w:eastAsiaTheme="minorEastAsia" w:hint="eastAsia"/>
        </w:rPr>
        <w:t xml:space="preserve">the </w:t>
      </w:r>
      <w:proofErr w:type="gramStart"/>
      <w:r>
        <w:rPr>
          <w:rFonts w:eastAsiaTheme="minorEastAsia" w:hint="eastAsia"/>
        </w:rPr>
        <w:t>Non-negative</w:t>
      </w:r>
      <w:proofErr w:type="gramEnd"/>
      <w:r>
        <w:rPr>
          <w:rFonts w:eastAsiaTheme="minorEastAsia" w:hint="eastAsia"/>
        </w:rPr>
        <w:t xml:space="preserve"> matrix </w:t>
      </w:r>
      <w:proofErr w:type="gramStart"/>
      <w:r>
        <w:rPr>
          <w:rFonts w:eastAsiaTheme="minorEastAsia" w:hint="eastAsia"/>
        </w:rPr>
        <w:t>factorization based</w:t>
      </w:r>
      <w:proofErr w:type="gramEnd"/>
      <w:r>
        <w:rPr>
          <w:rFonts w:eastAsiaTheme="minorEastAsia" w:hint="eastAsia"/>
        </w:rPr>
        <w:t xml:space="preserve"> approach (NMF), </w:t>
      </w:r>
      <w:proofErr w:type="spellStart"/>
      <w:r w:rsidRPr="009613D6">
        <w:rPr>
          <w:rFonts w:eastAsiaTheme="minorEastAsia"/>
        </w:rPr>
        <w:t>SigProfilerExtractor</w:t>
      </w:r>
      <w:proofErr w:type="spellEnd"/>
      <w:r w:rsidRPr="009613D6">
        <w:rPr>
          <w:rFonts w:eastAsiaTheme="minorEastAsia"/>
        </w:rPr>
        <w:t xml:space="preserve"> (v1.1.24). For analyses including all genomes, NMF was performed with the number of signatures evaluated between 10 and 40 (</w:t>
      </w:r>
      <w:proofErr w:type="spellStart"/>
      <w:r w:rsidRPr="009613D6">
        <w:rPr>
          <w:rFonts w:eastAsiaTheme="minorEastAsia"/>
        </w:rPr>
        <w:t>minimum_signatures</w:t>
      </w:r>
      <w:proofErr w:type="spellEnd"/>
      <w:r w:rsidRPr="009613D6">
        <w:rPr>
          <w:rFonts w:eastAsiaTheme="minorEastAsia"/>
        </w:rPr>
        <w:t xml:space="preserve"> = 10; </w:t>
      </w:r>
      <w:proofErr w:type="spellStart"/>
      <w:r w:rsidRPr="009613D6">
        <w:rPr>
          <w:rFonts w:eastAsiaTheme="minorEastAsia"/>
        </w:rPr>
        <w:t>maximum_signatures</w:t>
      </w:r>
      <w:proofErr w:type="spellEnd"/>
      <w:r w:rsidRPr="009613D6">
        <w:rPr>
          <w:rFonts w:eastAsiaTheme="minorEastAsia"/>
        </w:rPr>
        <w:t xml:space="preserve"> = 40). For analyses restricted to individual cancer types or to genomes with high tumor mutational burden, the number of signatures evaluated ranged from 2 to 20 (</w:t>
      </w:r>
      <w:proofErr w:type="spellStart"/>
      <w:r w:rsidRPr="009613D6">
        <w:rPr>
          <w:rFonts w:eastAsiaTheme="minorEastAsia"/>
        </w:rPr>
        <w:t>minimum_signatures</w:t>
      </w:r>
      <w:proofErr w:type="spellEnd"/>
      <w:r w:rsidRPr="009613D6">
        <w:rPr>
          <w:rFonts w:eastAsiaTheme="minorEastAsia"/>
        </w:rPr>
        <w:t xml:space="preserve"> = 2; </w:t>
      </w:r>
      <w:proofErr w:type="spellStart"/>
      <w:r w:rsidRPr="009613D6">
        <w:rPr>
          <w:rFonts w:eastAsiaTheme="minorEastAsia"/>
        </w:rPr>
        <w:t>maximum_signatures</w:t>
      </w:r>
      <w:proofErr w:type="spellEnd"/>
      <w:r w:rsidRPr="009613D6">
        <w:rPr>
          <w:rFonts w:eastAsiaTheme="minorEastAsia"/>
        </w:rPr>
        <w:t xml:space="preserve"> = 20). Each factorization was repeated 100 times (</w:t>
      </w:r>
      <w:proofErr w:type="spellStart"/>
      <w:r w:rsidRPr="009613D6">
        <w:rPr>
          <w:rFonts w:eastAsiaTheme="minorEastAsia"/>
        </w:rPr>
        <w:t>nmf_replicates</w:t>
      </w:r>
      <w:proofErr w:type="spellEnd"/>
      <w:r w:rsidRPr="009613D6">
        <w:rPr>
          <w:rFonts w:eastAsiaTheme="minorEastAsia"/>
        </w:rPr>
        <w:t xml:space="preserve"> = 100), with all other parameters set to their recommended default values. Signature interpretation was primarily based on the “Optimal Solution” identified by the software, although several rare signatures were identified in alternative solutions (Table S).</w:t>
      </w:r>
    </w:p>
    <w:p w14:paraId="19DC43BF" w14:textId="3FEDFB8B" w:rsidR="00205AD2" w:rsidRPr="00A13332" w:rsidRDefault="00205AD2" w:rsidP="009613D6">
      <w:pPr>
        <w:ind w:firstLine="0"/>
        <w:rPr>
          <w:rFonts w:eastAsiaTheme="minorEastAsia"/>
          <w:b/>
          <w:bCs/>
        </w:rPr>
      </w:pPr>
      <w:r w:rsidRPr="00A13332">
        <w:rPr>
          <w:b/>
          <w:bCs/>
        </w:rPr>
        <w:t xml:space="preserve">Match </w:t>
      </w:r>
      <w:r w:rsidR="004B39E2" w:rsidRPr="00A13332">
        <w:rPr>
          <w:rFonts w:eastAsiaTheme="minorEastAsia" w:hint="eastAsia"/>
          <w:b/>
          <w:bCs/>
        </w:rPr>
        <w:t>83-type and 83-type</w:t>
      </w:r>
      <w:r w:rsidRPr="00A13332">
        <w:rPr>
          <w:b/>
          <w:bCs/>
        </w:rPr>
        <w:t xml:space="preserve"> signatures into reference signatures</w:t>
      </w:r>
    </w:p>
    <w:p w14:paraId="3D71BF8A" w14:textId="3682FDB0" w:rsidR="004B39E2" w:rsidRPr="004B39E2" w:rsidRDefault="004B39E2" w:rsidP="004B39E2">
      <w:pPr>
        <w:ind w:firstLine="0"/>
        <w:rPr>
          <w:rFonts w:eastAsiaTheme="minorEastAsia" w:hint="eastAsia"/>
        </w:rPr>
      </w:pPr>
      <w:r>
        <w:rPr>
          <w:rFonts w:eastAsiaTheme="minorEastAsia" w:hint="eastAsia"/>
        </w:rPr>
        <w:t xml:space="preserve">For 83-type signatures, the signatures were matched to previously identified COSMIC signatures (v3.5, </w:t>
      </w:r>
      <w:hyperlink r:id="rId8" w:history="1">
        <w:r w:rsidRPr="00E40093">
          <w:rPr>
            <w:rStyle w:val="Hyperlink"/>
            <w:rFonts w:eastAsiaTheme="minorEastAsia"/>
          </w:rPr>
          <w:t>https://cancer.sanger.ac.uk/signatures/id/</w:t>
        </w:r>
      </w:hyperlink>
      <w:r>
        <w:rPr>
          <w:rFonts w:eastAsiaTheme="minorEastAsia" w:hint="eastAsia"/>
        </w:rPr>
        <w:t xml:space="preserve">). For 89-type signatures, </w:t>
      </w:r>
      <w:r>
        <w:rPr>
          <w:rFonts w:eastAsiaTheme="minorEastAsia" w:hint="eastAsia"/>
        </w:rPr>
        <w:lastRenderedPageBreak/>
        <w:t xml:space="preserve">the signatures supported by both </w:t>
      </w:r>
      <w:proofErr w:type="spellStart"/>
      <w:r>
        <w:rPr>
          <w:rFonts w:eastAsiaTheme="minorEastAsia" w:hint="eastAsia"/>
        </w:rPr>
        <w:t>mSigHdp</w:t>
      </w:r>
      <w:proofErr w:type="spellEnd"/>
      <w:r>
        <w:rPr>
          <w:rFonts w:eastAsiaTheme="minorEastAsia" w:hint="eastAsia"/>
        </w:rPr>
        <w:t xml:space="preserve"> and </w:t>
      </w:r>
      <w:proofErr w:type="spellStart"/>
      <w:r>
        <w:rPr>
          <w:rFonts w:eastAsiaTheme="minorEastAsia" w:hint="eastAsia"/>
        </w:rPr>
        <w:t>SigProfilerExtractor</w:t>
      </w:r>
      <w:proofErr w:type="spellEnd"/>
      <w:r>
        <w:rPr>
          <w:rFonts w:eastAsiaTheme="minorEastAsia" w:hint="eastAsia"/>
        </w:rPr>
        <w:t xml:space="preserve"> were matched to the signatures reported in Koh et al. </w:t>
      </w:r>
      <w:r w:rsidR="00324C54">
        <w:rPr>
          <w:rFonts w:eastAsiaTheme="minorEastAsia" w:hint="eastAsia"/>
        </w:rPr>
        <w:t>A detailed comparison can be found at Table 1.</w:t>
      </w:r>
    </w:p>
    <w:p w14:paraId="321FBDA5" w14:textId="575FB955" w:rsidR="00205AD2" w:rsidRPr="004B39E2" w:rsidRDefault="00205AD2" w:rsidP="00205AD2">
      <w:pPr>
        <w:rPr>
          <w:rFonts w:eastAsiaTheme="minorEastAsia"/>
        </w:rPr>
      </w:pPr>
      <w:r>
        <w:t xml:space="preserve">We compared all </w:t>
      </w:r>
      <w:r w:rsidRPr="00324C54">
        <w:rPr>
          <w:i/>
          <w:iCs/>
        </w:rPr>
        <w:t>de novo</w:t>
      </w:r>
      <w:r>
        <w:t xml:space="preserve"> signatures </w:t>
      </w:r>
      <w:r w:rsidR="004B39E2">
        <w:rPr>
          <w:rFonts w:eastAsiaTheme="minorEastAsia" w:hint="eastAsia"/>
        </w:rPr>
        <w:t xml:space="preserve">supported by both </w:t>
      </w:r>
      <w:proofErr w:type="spellStart"/>
      <w:r w:rsidR="004B39E2">
        <w:rPr>
          <w:rFonts w:eastAsiaTheme="minorEastAsia" w:hint="eastAsia"/>
        </w:rPr>
        <w:t>mSigHdp</w:t>
      </w:r>
      <w:proofErr w:type="spellEnd"/>
      <w:r w:rsidR="004B39E2">
        <w:rPr>
          <w:rFonts w:eastAsiaTheme="minorEastAsia" w:hint="eastAsia"/>
        </w:rPr>
        <w:t xml:space="preserve"> and </w:t>
      </w:r>
      <w:proofErr w:type="spellStart"/>
      <w:r w:rsidR="004B39E2">
        <w:rPr>
          <w:rFonts w:eastAsiaTheme="minorEastAsia" w:hint="eastAsia"/>
        </w:rPr>
        <w:t>SigProfilerExtractor</w:t>
      </w:r>
      <w:proofErr w:type="spellEnd"/>
      <w:r w:rsidR="004B39E2">
        <w:rPr>
          <w:rFonts w:eastAsiaTheme="minorEastAsia" w:hint="eastAsia"/>
        </w:rPr>
        <w:t xml:space="preserve"> </w:t>
      </w:r>
      <w:r>
        <w:t xml:space="preserve">to </w:t>
      </w:r>
      <w:r w:rsidR="004B39E2">
        <w:rPr>
          <w:rFonts w:eastAsiaTheme="minorEastAsia" w:hint="eastAsia"/>
        </w:rPr>
        <w:t>the published</w:t>
      </w:r>
      <w:r>
        <w:t xml:space="preserve"> signatures and categorized them into three groups: (1) known signature: if</w:t>
      </w:r>
      <w:r w:rsidR="00324C54">
        <w:rPr>
          <w:rFonts w:eastAsiaTheme="minorEastAsia" w:hint="eastAsia"/>
        </w:rPr>
        <w:t xml:space="preserve"> an extracted</w:t>
      </w:r>
      <w:r>
        <w:t xml:space="preserve"> signature has a cosine similarity of ≥ 0.</w:t>
      </w:r>
      <w:r>
        <w:rPr>
          <w:rFonts w:hint="eastAsia"/>
        </w:rPr>
        <w:t>85</w:t>
      </w:r>
      <w:r>
        <w:t xml:space="preserve"> with a COSMIC signature; (2) merged signatures: if </w:t>
      </w:r>
      <w:r w:rsidR="00324C54">
        <w:rPr>
          <w:rFonts w:eastAsiaTheme="minorEastAsia" w:hint="eastAsia"/>
        </w:rPr>
        <w:t>an extracted</w:t>
      </w:r>
      <w:r>
        <w:t xml:space="preserve"> signatures can be reconstructed by at most </w:t>
      </w:r>
      <w:r>
        <w:rPr>
          <w:rFonts w:hint="eastAsia"/>
        </w:rPr>
        <w:t>3</w:t>
      </w:r>
      <w:r>
        <w:t xml:space="preserve"> COSMIC signatures with a reconstructed similarity of ≥ 0.</w:t>
      </w:r>
      <w:r>
        <w:rPr>
          <w:rFonts w:hint="eastAsia"/>
        </w:rPr>
        <w:t>9</w:t>
      </w:r>
      <w:r>
        <w:t xml:space="preserve">; (3) novel signatures: the </w:t>
      </w:r>
      <w:r w:rsidR="00324C54">
        <w:rPr>
          <w:rFonts w:eastAsiaTheme="minorEastAsia" w:hint="eastAsia"/>
        </w:rPr>
        <w:t xml:space="preserve">extracted </w:t>
      </w:r>
      <w:r>
        <w:t xml:space="preserve">signatures do not fit into the known signatures or the merged signatures. </w:t>
      </w:r>
      <w:r w:rsidR="004B39E2">
        <w:rPr>
          <w:rFonts w:eastAsiaTheme="minorEastAsia" w:hint="eastAsia"/>
        </w:rPr>
        <w:t>We focused on (1) and (3) in this study.</w:t>
      </w:r>
    </w:p>
    <w:p w14:paraId="06BB32D2" w14:textId="77777777" w:rsidR="00205AD2" w:rsidRPr="00A13332" w:rsidRDefault="00205AD2" w:rsidP="00A13332">
      <w:pPr>
        <w:ind w:firstLine="0"/>
        <w:rPr>
          <w:b/>
          <w:bCs/>
        </w:rPr>
      </w:pPr>
      <w:r w:rsidRPr="00A13332">
        <w:rPr>
          <w:b/>
          <w:bCs/>
        </w:rPr>
        <w:t>Signature attribution analysis</w:t>
      </w:r>
    </w:p>
    <w:p w14:paraId="17E28D8E" w14:textId="77777777" w:rsidR="009035A6" w:rsidRDefault="009035A6" w:rsidP="009035A6">
      <w:pPr>
        <w:pStyle w:val="normalfirst"/>
      </w:pPr>
      <w:r>
        <w:t xml:space="preserve">Indel signature activities for the 83‑type and 89‑type spectra were assigned to each sample using a two‑step computational framework. First, we applied the </w:t>
      </w:r>
      <w:proofErr w:type="spellStart"/>
      <w:r>
        <w:t>find_best_reconstruction_QP</w:t>
      </w:r>
      <w:proofErr w:type="spellEnd"/>
      <w:r>
        <w:t xml:space="preserve"> function from the </w:t>
      </w:r>
      <w:proofErr w:type="spellStart"/>
      <w:r>
        <w:t>SigTools</w:t>
      </w:r>
      <w:proofErr w:type="spellEnd"/>
      <w:r>
        <w:t xml:space="preserve"> R package (v1.0.7), which performs fast signature attribution via quadratic programming optimization. Second, we refined these initial estimates using the </w:t>
      </w:r>
      <w:proofErr w:type="spellStart"/>
      <w:r>
        <w:t>PresenceAttributeSigActivity</w:t>
      </w:r>
      <w:proofErr w:type="spellEnd"/>
      <w:r>
        <w:t xml:space="preserve"> function from the </w:t>
      </w:r>
      <w:proofErr w:type="spellStart"/>
      <w:r>
        <w:t>mSigAct</w:t>
      </w:r>
      <w:proofErr w:type="spellEnd"/>
      <w:r>
        <w:t xml:space="preserve"> R package (v1.0.1) with default parameters.</w:t>
      </w:r>
    </w:p>
    <w:p w14:paraId="3EAFF27D" w14:textId="3C23F084" w:rsidR="009035A6" w:rsidRDefault="009035A6" w:rsidP="009035A6">
      <w:pPr>
        <w:pStyle w:val="normalfirst"/>
      </w:pPr>
      <w:r w:rsidRPr="009035A6">
        <w:t>The 83-type indel spectra are frequently dominated by 1</w:t>
      </w:r>
      <w:r w:rsidRPr="009035A6">
        <w:noBreakHyphen/>
        <w:t>bp T insertions and deletions at poly</w:t>
      </w:r>
      <w:r w:rsidRPr="009035A6">
        <w:noBreakHyphen/>
        <w:t>T tracts (≥5 consecutive T’s), which can obscure the contribution of other indel types during signature assignment. To mitigate this interference, we implemented a three</w:t>
      </w:r>
      <w:r w:rsidRPr="009035A6">
        <w:noBreakHyphen/>
        <w:t>step deconvolution strategy</w:t>
      </w:r>
      <w:r>
        <w:t>:</w:t>
      </w:r>
      <w:r>
        <w:rPr>
          <w:rFonts w:hint="eastAsia"/>
        </w:rPr>
        <w:t xml:space="preserve"> </w:t>
      </w:r>
      <w:r>
        <w:t xml:space="preserve">(1) We constructed “ablated” spectra and an “ablated” signature matrix by removing the two poly‑T peaks from </w:t>
      </w:r>
      <w:r>
        <w:lastRenderedPageBreak/>
        <w:t>both the observed spectrum and the reference signatures, explicitly excluding C_ID1 and C_ID2. Signature fitting was then performed on these ablated inputs using the two‑step pipeline</w:t>
      </w:r>
      <w:r>
        <w:rPr>
          <w:rFonts w:hint="eastAsia"/>
        </w:rPr>
        <w:t xml:space="preserve"> described above</w:t>
      </w:r>
      <w:r>
        <w:t>, yielding activity estimates for all non‑poly‑T components</w:t>
      </w:r>
      <w:r>
        <w:rPr>
          <w:rFonts w:hint="eastAsia"/>
        </w:rPr>
        <w:t xml:space="preserve">; </w:t>
      </w:r>
      <w:r>
        <w:t>(2) Using this ablated assignment and the full (unablated) signature matrix, we reconstructed a “predicted spectrum”</w:t>
      </w:r>
      <w:r>
        <w:rPr>
          <w:rFonts w:hint="eastAsia"/>
        </w:rPr>
        <w:t xml:space="preserve">; </w:t>
      </w:r>
      <w:r>
        <w:t>(3) The residual</w:t>
      </w:r>
      <w:r>
        <w:rPr>
          <w:rFonts w:hint="eastAsia"/>
        </w:rPr>
        <w:t xml:space="preserve">, </w:t>
      </w:r>
      <w:r>
        <w:t>defined as the difference between the original observed spectrum and the “predicted spectrum”</w:t>
      </w:r>
      <w:r>
        <w:rPr>
          <w:rFonts w:hint="eastAsia"/>
        </w:rPr>
        <w:t xml:space="preserve">, </w:t>
      </w:r>
      <w:r>
        <w:t>was truncated at zero (i.e., all negative values were set to 0) to enforce non‑negative contributions. Only the two poly‑T components of this corrected residual were retained and allocated to C_ID1 and C_ID2 in proportion to their relative signature weights.</w:t>
      </w:r>
    </w:p>
    <w:p w14:paraId="243AA2C4" w14:textId="0CB1B111" w:rsidR="00232D0D" w:rsidRDefault="009035A6" w:rsidP="00205AD2">
      <w:pPr>
        <w:pStyle w:val="normalfirst"/>
      </w:pPr>
      <w:r>
        <w:rPr>
          <w:rFonts w:hint="eastAsia"/>
        </w:rPr>
        <w:t xml:space="preserve"> </w:t>
      </w:r>
    </w:p>
    <w:p w14:paraId="5159EA72" w14:textId="77777777" w:rsidR="00205AD2" w:rsidRPr="00A13332" w:rsidRDefault="00205AD2" w:rsidP="00A13332">
      <w:pPr>
        <w:ind w:firstLine="0"/>
        <w:rPr>
          <w:b/>
          <w:bCs/>
        </w:rPr>
      </w:pPr>
      <w:r w:rsidRPr="00A13332">
        <w:rPr>
          <w:b/>
          <w:bCs/>
        </w:rPr>
        <w:t>Simulating synthetic cancer datasets</w:t>
      </w:r>
    </w:p>
    <w:p w14:paraId="0184008B" w14:textId="01E01A30" w:rsidR="00205AD2" w:rsidRDefault="004B39E2" w:rsidP="00205AD2">
      <w:pPr>
        <w:pStyle w:val="normalfirst"/>
      </w:pPr>
      <w:r>
        <w:rPr>
          <w:rFonts w:hint="eastAsia"/>
        </w:rPr>
        <w:t>We generated s</w:t>
      </w:r>
      <w:r w:rsidR="00205AD2">
        <w:t xml:space="preserve">ynthetic cancer datasets </w:t>
      </w:r>
      <w:r>
        <w:rPr>
          <w:rFonts w:hint="eastAsia"/>
        </w:rPr>
        <w:t xml:space="preserve">in 83-type indels </w:t>
      </w:r>
      <w:r w:rsidR="00205AD2">
        <w:t xml:space="preserve">using </w:t>
      </w:r>
      <w:proofErr w:type="spellStart"/>
      <w:r w:rsidR="00205AD2">
        <w:t>SigProfilerSimulator</w:t>
      </w:r>
      <w:proofErr w:type="spellEnd"/>
      <w:r w:rsidR="00205AD2">
        <w:t xml:space="preserve"> (</w:t>
      </w:r>
      <w:hyperlink r:id="rId9">
        <w:r w:rsidR="00205AD2">
          <w:rPr>
            <w:rStyle w:val="Hyperlink"/>
          </w:rPr>
          <w:t>https://bmcbioinformatics.biomedcentral.com/articles/10.1186/s12859-020-03772-3</w:t>
        </w:r>
      </w:hyperlink>
      <w:r w:rsidR="00205AD2">
        <w:t xml:space="preserve">). </w:t>
      </w:r>
    </w:p>
    <w:p w14:paraId="401581E7" w14:textId="77777777" w:rsidR="00205AD2" w:rsidRPr="00CC0867" w:rsidRDefault="00205AD2" w:rsidP="00CC0867">
      <w:pPr>
        <w:ind w:firstLine="0"/>
        <w:rPr>
          <w:b/>
          <w:bCs/>
        </w:rPr>
      </w:pPr>
      <w:r w:rsidRPr="00CC0867">
        <w:rPr>
          <w:b/>
          <w:bCs/>
        </w:rPr>
        <w:t>Annotating somatic indels based on transcribed versus un-transcribed strand</w:t>
      </w:r>
    </w:p>
    <w:p w14:paraId="1425579C" w14:textId="507AB017" w:rsidR="00205AD2" w:rsidRDefault="00205AD2" w:rsidP="00324C54">
      <w:pPr>
        <w:ind w:firstLine="0"/>
      </w:pPr>
      <w:r>
        <w:t>We followed the method in (</w:t>
      </w:r>
      <w:hyperlink r:id="rId10">
        <w:r>
          <w:t>https://doi.org/10.1016/j.celrep.2023.112930</w:t>
        </w:r>
      </w:hyperlink>
      <w:r>
        <w:t xml:space="preserve">). </w:t>
      </w:r>
      <w:r w:rsidR="00324C54">
        <w:t>Briefly,</w:t>
      </w:r>
      <w:r>
        <w:t xml:space="preserve"> somatic indels were called with respect to the + strand of the reference genome and further annotated </w:t>
      </w:r>
      <w:proofErr w:type="gramStart"/>
      <w:r>
        <w:t>in regard to</w:t>
      </w:r>
      <w:proofErr w:type="gramEnd"/>
      <w:r>
        <w:t xml:space="preserve"> the pyrimidine base(s) of the insertion/deletion. Thus, indels with only C or T bases were annotated as + strand mutations; indels with only A or G bases were annotated as – strand mutations. The remaining indels were not included in the analysis. Next, + strand indels in protein coding genes were further </w:t>
      </w:r>
      <w:r>
        <w:lastRenderedPageBreak/>
        <w:t xml:space="preserve">subclassified as transcribed (template) if the gene’s sense strand was on the + strand of the genome, or else un-transcribed (sense). The logic was inverted for – strand indels. Indels in bidirectionally transcribed regions were ignored. </w:t>
      </w:r>
    </w:p>
    <w:p w14:paraId="779EAEB2" w14:textId="77777777" w:rsidR="00205AD2" w:rsidRPr="00A13332" w:rsidRDefault="00205AD2" w:rsidP="00A13332">
      <w:pPr>
        <w:ind w:firstLine="0"/>
        <w:rPr>
          <w:b/>
          <w:bCs/>
        </w:rPr>
      </w:pPr>
      <w:r w:rsidRPr="00A13332">
        <w:rPr>
          <w:b/>
          <w:bCs/>
        </w:rPr>
        <w:t>Annotating somatic indels based on leading versus lagging replication strand</w:t>
      </w:r>
    </w:p>
    <w:p w14:paraId="1DA0D741" w14:textId="1A5C5F74" w:rsidR="00205AD2" w:rsidRDefault="00205AD2" w:rsidP="00A13332">
      <w:r>
        <w:t>Replication strand was determined by wavelet-smoothed replication-timing signal data that indicated both “valleys” (replication termination zones) and “peaks” (replication initiation zones) (</w:t>
      </w:r>
      <w:hyperlink r:id="rId11">
        <w:r>
          <w:rPr>
            <w:rStyle w:val="Hyperlink"/>
          </w:rPr>
          <w:t>https://hgdownload.cse.ucsc.edu/goldenPath/hg19/encodeDCC/wgEncodeUwRepliSeq/</w:t>
        </w:r>
      </w:hyperlink>
      <w:r>
        <w:t xml:space="preserve">). Valleys and peaks were sorted by the genomic coordinate in ascending order. </w:t>
      </w:r>
      <w:proofErr w:type="gramStart"/>
      <w:r>
        <w:t>In regard to</w:t>
      </w:r>
      <w:proofErr w:type="gramEnd"/>
      <w:r>
        <w:t xml:space="preserve"> + strand of the reference genome, replication timing </w:t>
      </w:r>
      <w:r w:rsidR="00324C54">
        <w:t>signals</w:t>
      </w:r>
      <w:r>
        <w:t xml:space="preserve"> were examined for consecutive stretches of the genome (from valley to peak or form peak to valley), with positive slope </w:t>
      </w:r>
      <w:proofErr w:type="gramStart"/>
      <w:r>
        <w:t>corresponded</w:t>
      </w:r>
      <w:proofErr w:type="gramEnd"/>
      <w:r>
        <w:t xml:space="preserve"> to leading strand regions and negative slope </w:t>
      </w:r>
      <w:proofErr w:type="gramStart"/>
      <w:r>
        <w:t>corresponded</w:t>
      </w:r>
      <w:proofErr w:type="gramEnd"/>
      <w:r>
        <w:t xml:space="preserve"> to lagging strand regions. Then for the - strand of the reference genome, leading regions (- slope) and lagging regions (+slope) were automatically acquired. </w:t>
      </w:r>
      <w:proofErr w:type="gramStart"/>
      <w:r>
        <w:t>Similar to</w:t>
      </w:r>
      <w:proofErr w:type="gramEnd"/>
      <w:r>
        <w:t xml:space="preserve"> the annotation for transcription, indels were first annotated as + or – strand mutations based on the pyrimidine bases. Next, indels were counted as being on leading strand or lagging strand based on their occupancy in a leading or lagging region.</w:t>
      </w:r>
    </w:p>
    <w:p w14:paraId="3E6EA45E" w14:textId="77777777" w:rsidR="00205AD2" w:rsidRPr="00A13332" w:rsidRDefault="00205AD2" w:rsidP="00A13332">
      <w:pPr>
        <w:ind w:firstLine="0"/>
        <w:rPr>
          <w:b/>
          <w:bCs/>
        </w:rPr>
      </w:pPr>
      <w:r w:rsidRPr="00A13332">
        <w:rPr>
          <w:b/>
          <w:bCs/>
        </w:rPr>
        <w:t>Detecting strand asymmetries across cancer types</w:t>
      </w:r>
    </w:p>
    <w:p w14:paraId="35A47620" w14:textId="58555287" w:rsidR="00205AD2" w:rsidRDefault="00205AD2" w:rsidP="00A13332">
      <w:r>
        <w:t xml:space="preserve">Strand asymmetry analyses were based on the assignment of signature probabilities to each individual indel mutation. Only indels with the probability </w:t>
      </w:r>
      <w:r>
        <w:lastRenderedPageBreak/>
        <w:t xml:space="preserve">greater than or equal to 0.50 to a certain </w:t>
      </w:r>
      <w:r w:rsidR="004B39E2">
        <w:rPr>
          <w:rFonts w:hint="eastAsia"/>
        </w:rPr>
        <w:t>indel</w:t>
      </w:r>
      <w:r>
        <w:t xml:space="preserve"> signature were retained. For each </w:t>
      </w:r>
      <w:r w:rsidR="004B39E2">
        <w:rPr>
          <w:rFonts w:hint="eastAsia"/>
        </w:rPr>
        <w:t>indel</w:t>
      </w:r>
      <w:r w:rsidR="004B39E2">
        <w:t xml:space="preserve"> </w:t>
      </w:r>
      <w:r>
        <w:t>signature and for all cancer types having this mutational signature, we retrieved the number of indels on each strand/region. In strand asymmetries analyses, only cancer types with at least 1,000 somatic mutations unambiguously attributed to an individual mutational signature were included.</w:t>
      </w:r>
    </w:p>
    <w:p w14:paraId="01548A83" w14:textId="77777777" w:rsidR="00205AD2" w:rsidRDefault="00205AD2" w:rsidP="00A13332">
      <w:r>
        <w:t xml:space="preserve">For each strand asymmetry </w:t>
      </w:r>
      <w:proofErr w:type="gramStart"/>
      <w:r>
        <w:t>analyses</w:t>
      </w:r>
      <w:proofErr w:type="gramEnd"/>
      <w:r>
        <w:t xml:space="preserve"> (genic and intergenic region asymmetry</w:t>
      </w:r>
      <w:r>
        <w:rPr>
          <w:rFonts w:hint="eastAsia"/>
        </w:rPr>
        <w:t>,</w:t>
      </w:r>
      <w:r>
        <w:t xml:space="preserve"> transcription strand asymmetry, replication strand asymmetry)</w:t>
      </w:r>
      <w:r>
        <w:rPr>
          <w:rFonts w:hint="eastAsia"/>
        </w:rPr>
        <w:t>,</w:t>
      </w:r>
      <w:r>
        <w:t xml:space="preserve"> indel mutations were split into two types and counted (genic vs intergenic mutation, leading strand vs lagging strand mutation, un-transcribed strand vs transcribed strand mutation). The two types were denoted as +/- strand mutations strand mutations in all three cases. The ratio of real somatic indels and the ratio of simulated somatic indels was calculated separately:</w:t>
      </w:r>
    </w:p>
    <w:p w14:paraId="235271BF" w14:textId="77777777" w:rsidR="00205AD2" w:rsidRDefault="00205AD2" w:rsidP="00A13332"/>
    <w:p w14:paraId="2CE28208" w14:textId="77777777" w:rsidR="00205AD2" w:rsidRDefault="00205AD2" w:rsidP="00A13332">
      <w:r>
        <w:t>Odds ratio between the ratio of real somatic indels and the ratio of simulated somatic indels was calculated:</w:t>
      </w:r>
    </w:p>
    <w:p w14:paraId="08A3437D" w14:textId="77777777" w:rsidR="00205AD2" w:rsidRDefault="00205AD2" w:rsidP="00A13332"/>
    <w:p w14:paraId="7A60D4AE" w14:textId="77777777" w:rsidR="00205AD2" w:rsidRDefault="00205AD2" w:rsidP="00A13332">
      <w:proofErr w:type="gramStart"/>
      <w:r>
        <w:t>p values</w:t>
      </w:r>
      <w:proofErr w:type="gramEnd"/>
      <w:r>
        <w:t xml:space="preserve"> were calculated for the odds ratio using Fisher’s exact test. Only strand asymmetries with p value &gt; 0.05 were considered showing strand asymmetries.</w:t>
      </w:r>
    </w:p>
    <w:p w14:paraId="6FCC1D98" w14:textId="77777777" w:rsidR="00205AD2" w:rsidRPr="00A13332" w:rsidRDefault="00205AD2" w:rsidP="00A13332">
      <w:pPr>
        <w:ind w:firstLine="0"/>
        <w:rPr>
          <w:b/>
          <w:bCs/>
        </w:rPr>
      </w:pPr>
      <w:r w:rsidRPr="00A13332">
        <w:rPr>
          <w:b/>
          <w:bCs/>
        </w:rPr>
        <w:t>Analyses of replication timing across cancer types</w:t>
      </w:r>
    </w:p>
    <w:p w14:paraId="0498348D" w14:textId="05F1783B" w:rsidR="00205AD2" w:rsidRDefault="00205AD2" w:rsidP="00A13332">
      <w:r>
        <w:lastRenderedPageBreak/>
        <w:t>Replication timing data were obtained from (</w:t>
      </w:r>
      <w:hyperlink r:id="rId12">
        <w:r>
          <w:rPr>
            <w:rStyle w:val="Hyperlink"/>
          </w:rPr>
          <w:t>https://genomebiology.biomedcentral.com/articles/10.1186/s13059-018-1509-y</w:t>
        </w:r>
      </w:hyperlink>
      <w:r>
        <w:t xml:space="preserve">) The replication time signals were sorted in a descending order and subsequently divided into deciles. Somatic indels were counted within the corresponding deciles based on their overlap with the replication domains in the examined deciles. As with other analyses, for each individual </w:t>
      </w:r>
      <w:r w:rsidR="004B39E2">
        <w:rPr>
          <w:rFonts w:hint="eastAsia"/>
        </w:rPr>
        <w:t>indel</w:t>
      </w:r>
      <w:r>
        <w:t xml:space="preserve"> signature, the reported replication timing analyses included only cancer types with at least 1,000 somatic mutations unambiguously attributed to it.</w:t>
      </w:r>
    </w:p>
    <w:p w14:paraId="5E24C117" w14:textId="77777777" w:rsidR="00205AD2" w:rsidRDefault="00205AD2" w:rsidP="00A13332">
      <w:r>
        <w:t xml:space="preserve">Replication timing mutation counts were generated for both real and simulated somatic indels. To classify whether the replication timing mutation density was increasing, flat, or decreasing, two linear regression models were fitted to the values of the real somatic indels count </w:t>
      </w:r>
      <w:proofErr w:type="gramStart"/>
      <w:r>
        <w:t>R(</w:t>
      </w:r>
      <w:proofErr w:type="gramEnd"/>
      <w:r>
        <w:t>X</w:t>
      </w:r>
      <w:r>
        <w:rPr>
          <w:vertAlign w:val="subscript"/>
        </w:rPr>
        <w:t>1</w:t>
      </w:r>
      <w:r>
        <w:t>, X</w:t>
      </w:r>
      <w:r>
        <w:rPr>
          <w:vertAlign w:val="subscript"/>
        </w:rPr>
        <w:t>2</w:t>
      </w:r>
      <w:r>
        <w:t>, X</w:t>
      </w:r>
      <w:r>
        <w:rPr>
          <w:vertAlign w:val="subscript"/>
        </w:rPr>
        <w:t>3</w:t>
      </w:r>
      <w:r>
        <w:t>, … X</w:t>
      </w:r>
      <w:r>
        <w:rPr>
          <w:vertAlign w:val="subscript"/>
        </w:rPr>
        <w:t>10</w:t>
      </w:r>
      <w:r>
        <w:t xml:space="preserve">) and the values of simulated somatic indel counts </w:t>
      </w:r>
      <w:proofErr w:type="gramStart"/>
      <w:r>
        <w:t>S(</w:t>
      </w:r>
      <w:proofErr w:type="gramEnd"/>
      <w:r>
        <w:t>X</w:t>
      </w:r>
      <w:r>
        <w:rPr>
          <w:vertAlign w:val="subscript"/>
        </w:rPr>
        <w:t>1</w:t>
      </w:r>
      <w:r>
        <w:t>, X</w:t>
      </w:r>
      <w:r>
        <w:rPr>
          <w:vertAlign w:val="subscript"/>
        </w:rPr>
        <w:t>2</w:t>
      </w:r>
      <w:r>
        <w:t>, X</w:t>
      </w:r>
      <w:r>
        <w:rPr>
          <w:vertAlign w:val="subscript"/>
        </w:rPr>
        <w:t>3</w:t>
      </w:r>
      <w:r>
        <w:t>, … X</w:t>
      </w:r>
      <w:r>
        <w:rPr>
          <w:vertAlign w:val="subscript"/>
        </w:rPr>
        <w:t>10</w:t>
      </w:r>
      <w:r>
        <w:t>), respectively.</w:t>
      </w:r>
    </w:p>
    <w:p w14:paraId="43106E37" w14:textId="77777777" w:rsidR="00205AD2" w:rsidRDefault="00205AD2" w:rsidP="00A13332"/>
    <w:p w14:paraId="68610C2B" w14:textId="77777777" w:rsidR="00205AD2" w:rsidRDefault="00205AD2" w:rsidP="00A13332"/>
    <w:p w14:paraId="6E1CC5CE" w14:textId="77777777" w:rsidR="00205AD2" w:rsidRDefault="00205AD2" w:rsidP="00A13332">
      <w:r>
        <w:t xml:space="preserve">In the above formula, replication timing denotes a vector </w:t>
      </w:r>
      <w:proofErr w:type="gramStart"/>
      <w:r>
        <w:t>c(</w:t>
      </w:r>
      <w:proofErr w:type="gramEnd"/>
      <w:r>
        <w:t>1,2,3 … 10).</w:t>
      </w:r>
    </w:p>
    <w:p w14:paraId="60DD5729" w14:textId="1F2263A8" w:rsidR="00205AD2" w:rsidRDefault="00205AD2" w:rsidP="00A13332">
      <w:r>
        <w:t xml:space="preserve">The replication timing trend for </w:t>
      </w:r>
      <w:r w:rsidR="004B39E2">
        <w:rPr>
          <w:rFonts w:eastAsiaTheme="minorEastAsia" w:hint="eastAsia"/>
        </w:rPr>
        <w:t xml:space="preserve">an 83-type </w:t>
      </w:r>
      <w:r>
        <w:t xml:space="preserve">signature was determined for both real and simulated data. An </w:t>
      </w:r>
      <w:r w:rsidR="004B39E2">
        <w:rPr>
          <w:rFonts w:eastAsiaTheme="minorEastAsia" w:hint="eastAsia"/>
        </w:rPr>
        <w:t>indel</w:t>
      </w:r>
      <w:r>
        <w:t xml:space="preserve"> signature </w:t>
      </w:r>
      <w:proofErr w:type="gramStart"/>
      <w:r>
        <w:t>was considered to be</w:t>
      </w:r>
      <w:proofErr w:type="gramEnd"/>
      <w:r>
        <w:t xml:space="preserve"> generally unaffected by replication timing if the slope m was not statistically significant from a flat line. Otherwise, with the slope m statistically significant from a flat line, an ID signature </w:t>
      </w:r>
      <w:proofErr w:type="gramStart"/>
      <w:r>
        <w:t>was considered to be</w:t>
      </w:r>
      <w:proofErr w:type="gramEnd"/>
      <w:r>
        <w:t xml:space="preserve"> increasing from early to late replicating regions if the slope m &gt; </w:t>
      </w:r>
      <w:proofErr w:type="gramStart"/>
      <w:r>
        <w:lastRenderedPageBreak/>
        <w:t>0, and</w:t>
      </w:r>
      <w:proofErr w:type="gramEnd"/>
      <w:r>
        <w:t xml:space="preserve"> </w:t>
      </w:r>
      <w:proofErr w:type="gramStart"/>
      <w:r>
        <w:t>was considered to be</w:t>
      </w:r>
      <w:proofErr w:type="gramEnd"/>
      <w:r>
        <w:t xml:space="preserve"> decreasing from early to late replicating regions if the slope m &lt; 0. </w:t>
      </w:r>
    </w:p>
    <w:p w14:paraId="2665AC51" w14:textId="0E43B290" w:rsidR="00205AD2" w:rsidRDefault="00205AD2" w:rsidP="00A13332">
      <w:r>
        <w:t xml:space="preserve">If the trends of a certain </w:t>
      </w:r>
      <w:r w:rsidR="004B39E2">
        <w:rPr>
          <w:rFonts w:eastAsiaTheme="minorEastAsia" w:hint="eastAsia"/>
        </w:rPr>
        <w:t>83-type</w:t>
      </w:r>
      <w:r w:rsidR="004B39E2">
        <w:t xml:space="preserve"> </w:t>
      </w:r>
      <w:r>
        <w:t xml:space="preserve">signature for the two </w:t>
      </w:r>
      <w:proofErr w:type="gramStart"/>
      <w:r>
        <w:t>dataset</w:t>
      </w:r>
      <w:proofErr w:type="gramEnd"/>
      <w:r>
        <w:t xml:space="preserve"> (real and simulated data) were different, the relative trend for real data comparing the simulated data was the final trend for the </w:t>
      </w:r>
      <w:r w:rsidR="004B39E2">
        <w:rPr>
          <w:rFonts w:eastAsiaTheme="minorEastAsia" w:hint="eastAsia"/>
        </w:rPr>
        <w:t>83-type</w:t>
      </w:r>
      <w:r w:rsidR="004B39E2">
        <w:t xml:space="preserve"> </w:t>
      </w:r>
      <w:r>
        <w:t xml:space="preserve">signature. Otherwise, if the trends of a certain </w:t>
      </w:r>
      <w:r w:rsidR="004B39E2">
        <w:rPr>
          <w:rFonts w:eastAsiaTheme="minorEastAsia" w:hint="eastAsia"/>
        </w:rPr>
        <w:t>83-type</w:t>
      </w:r>
      <w:r w:rsidR="004B39E2">
        <w:t xml:space="preserve"> </w:t>
      </w:r>
      <w:r>
        <w:t xml:space="preserve">signature for the two </w:t>
      </w:r>
      <w:proofErr w:type="gramStart"/>
      <w:r>
        <w:t>dataset</w:t>
      </w:r>
      <w:proofErr w:type="gramEnd"/>
      <w:r>
        <w:t xml:space="preserve"> were the same, a third multiple linear regression model was fitted. </w:t>
      </w:r>
    </w:p>
    <w:p w14:paraId="3194A25E" w14:textId="2CAEAF07" w:rsidR="00205AD2" w:rsidRDefault="00205AD2" w:rsidP="00A13332">
      <w:pPr>
        <w:rPr>
          <w:rFonts w:eastAsiaTheme="minorEastAsia"/>
        </w:rPr>
      </w:pPr>
      <w:r>
        <w:t xml:space="preserve">Similarly, the final trend of an </w:t>
      </w:r>
      <w:r w:rsidR="004B39E2">
        <w:rPr>
          <w:rFonts w:eastAsiaTheme="minorEastAsia" w:hint="eastAsia"/>
        </w:rPr>
        <w:t>83-type</w:t>
      </w:r>
      <w:r w:rsidR="004B39E2">
        <w:t xml:space="preserve"> </w:t>
      </w:r>
      <w:r>
        <w:t xml:space="preserve">signature </w:t>
      </w:r>
      <w:proofErr w:type="gramStart"/>
      <w:r>
        <w:t>were</w:t>
      </w:r>
      <w:proofErr w:type="gramEnd"/>
      <w:r>
        <w:t xml:space="preserve"> determined by the significance of the coefficient of replication timing. If it is not significant, an </w:t>
      </w:r>
      <w:r w:rsidR="004B39E2">
        <w:rPr>
          <w:rFonts w:eastAsiaTheme="minorEastAsia" w:hint="eastAsia"/>
        </w:rPr>
        <w:t>83-type</w:t>
      </w:r>
      <w:r w:rsidR="004B39E2">
        <w:t xml:space="preserve"> </w:t>
      </w:r>
      <w:r>
        <w:t xml:space="preserve">signature </w:t>
      </w:r>
      <w:proofErr w:type="gramStart"/>
      <w:r>
        <w:t>was considered to be</w:t>
      </w:r>
      <w:proofErr w:type="gramEnd"/>
      <w:r>
        <w:t xml:space="preserve"> generally unaffected by replication timing. Otherwise, if the coefficient of replication timing &gt; 0, an </w:t>
      </w:r>
      <w:r w:rsidR="004B39E2">
        <w:rPr>
          <w:rFonts w:eastAsiaTheme="minorEastAsia" w:hint="eastAsia"/>
        </w:rPr>
        <w:t>83-type</w:t>
      </w:r>
      <w:r w:rsidR="004B39E2">
        <w:t xml:space="preserve"> </w:t>
      </w:r>
      <w:r>
        <w:t xml:space="preserve">signature </w:t>
      </w:r>
      <w:proofErr w:type="gramStart"/>
      <w:r>
        <w:t>was considered to be</w:t>
      </w:r>
      <w:proofErr w:type="gramEnd"/>
      <w:r>
        <w:t xml:space="preserve"> increasing from early to late replicating regions; if the coefficient of replication timing &lt; 0, an </w:t>
      </w:r>
      <w:r w:rsidR="004B39E2">
        <w:rPr>
          <w:rFonts w:eastAsiaTheme="minorEastAsia" w:hint="eastAsia"/>
        </w:rPr>
        <w:t>83-type</w:t>
      </w:r>
      <w:r w:rsidR="004B39E2">
        <w:t xml:space="preserve"> </w:t>
      </w:r>
      <w:r>
        <w:t xml:space="preserve">signature </w:t>
      </w:r>
      <w:proofErr w:type="gramStart"/>
      <w:r>
        <w:t>was considered to be</w:t>
      </w:r>
      <w:proofErr w:type="gramEnd"/>
      <w:r>
        <w:t xml:space="preserve"> decreasing from early to late replicating regions.</w:t>
      </w:r>
    </w:p>
    <w:p w14:paraId="3380C92E" w14:textId="73A487B4" w:rsidR="00D079EC" w:rsidRPr="00D079EC" w:rsidRDefault="00D079EC" w:rsidP="00A13332">
      <w:pPr>
        <w:rPr>
          <w:rFonts w:eastAsiaTheme="minorEastAsia"/>
        </w:rPr>
      </w:pPr>
      <w:r w:rsidRPr="00D079EC">
        <w:rPr>
          <w:rFonts w:eastAsiaTheme="minorEastAsia"/>
        </w:rPr>
        <w:t>For an 89-type signature, the replication timing trend was determined by real data only. A linear regression model was fitted for real mutation counts within the corresponding replication timing deciles. Same as 83-type signatures, the significance of the model and the value of the slope m determined the increasing, decreasing, flat trends.</w:t>
      </w:r>
    </w:p>
    <w:p w14:paraId="2E25CE8F" w14:textId="77777777" w:rsidR="00205AD2" w:rsidRPr="00A13332" w:rsidRDefault="00205AD2" w:rsidP="00A13332">
      <w:pPr>
        <w:ind w:firstLine="0"/>
        <w:rPr>
          <w:b/>
          <w:bCs/>
        </w:rPr>
      </w:pPr>
      <w:r w:rsidRPr="00A13332">
        <w:rPr>
          <w:b/>
          <w:bCs/>
        </w:rPr>
        <w:t xml:space="preserve">MSI/MSS </w:t>
      </w:r>
      <w:r w:rsidRPr="00A13332">
        <w:rPr>
          <w:rFonts w:hint="eastAsia"/>
          <w:b/>
          <w:bCs/>
        </w:rPr>
        <w:t>s</w:t>
      </w:r>
      <w:r w:rsidRPr="00A13332">
        <w:rPr>
          <w:b/>
          <w:bCs/>
        </w:rPr>
        <w:t>tatus</w:t>
      </w:r>
      <w:r w:rsidRPr="00A13332">
        <w:rPr>
          <w:rFonts w:hint="eastAsia"/>
          <w:b/>
          <w:bCs/>
        </w:rPr>
        <w:t xml:space="preserve"> and high/low TMB status</w:t>
      </w:r>
    </w:p>
    <w:p w14:paraId="7B7218B1" w14:textId="2F228040" w:rsidR="00205AD2" w:rsidRDefault="00205AD2" w:rsidP="00A13332">
      <w:pPr>
        <w:rPr>
          <w:color w:val="000000"/>
        </w:rPr>
      </w:pPr>
      <w:r>
        <w:lastRenderedPageBreak/>
        <w:t>For PCAWG genomes, the MSI</w:t>
      </w:r>
      <w:r w:rsidR="00A13332">
        <w:rPr>
          <w:rFonts w:eastAsiaTheme="minorEastAsia" w:hint="eastAsia"/>
        </w:rPr>
        <w:t xml:space="preserve"> (microsatellite instability)</w:t>
      </w:r>
      <w:r>
        <w:t xml:space="preserve"> status was evaluated by the PCAWG working group and obtained from the synapse repository (</w:t>
      </w:r>
      <w:hyperlink r:id="rId13" w:anchor="!Synapse:syn8016399" w:history="1">
        <w:r>
          <w:rPr>
            <w:rStyle w:val="Hyperlink"/>
          </w:rPr>
          <w:t>https://www.synapse.org/#!Synapse:syn8016399</w:t>
        </w:r>
      </w:hyperlink>
      <w:r>
        <w:rPr>
          <w:rFonts w:hint="eastAsia"/>
        </w:rPr>
        <w:t>, the data was downloaded on May 2022</w:t>
      </w:r>
      <w:r>
        <w:t xml:space="preserve">). For </w:t>
      </w:r>
      <w:r w:rsidR="000D1649">
        <w:rPr>
          <w:rFonts w:eastAsiaTheme="minorEastAsia" w:hint="eastAsia"/>
        </w:rPr>
        <w:t>Hartwig</w:t>
      </w:r>
      <w:r w:rsidR="000D1649">
        <w:t xml:space="preserve"> </w:t>
      </w:r>
      <w:r>
        <w:t xml:space="preserve">genomes, the MSI status was downloaded from the supplementary data of </w:t>
      </w:r>
      <w:sdt>
        <w:sdtPr>
          <w:tag w:val="MENDELEY_CITATION_v3_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"/>
          <w:id w:val="-143669242"/>
        </w:sdtPr>
        <w:sdtContent>
          <w:r>
            <w:rPr>
              <w:color w:val="000000"/>
            </w:rPr>
            <w:t>Priestley et al., 2019.</w:t>
          </w:r>
        </w:sdtContent>
      </w:sdt>
      <w:r>
        <w:rPr>
          <w:color w:val="000000"/>
        </w:rPr>
        <w:t xml:space="preserve"> </w:t>
      </w:r>
      <w:r>
        <w:rPr>
          <w:rFonts w:hint="eastAsia"/>
          <w:color w:val="000000"/>
        </w:rPr>
        <w:t>The genomes with &gt;14,000 IDs and &gt;15,000 SBSs were labelled as high TMB tumors. The thresholds were selected based on the minimum number of mutations of the pre-defined MSI tumors. We then used MSI-seq to predict the MSI status of high TMB tumors.</w:t>
      </w:r>
    </w:p>
    <w:p w14:paraId="632A28D9" w14:textId="77777777" w:rsidR="00205AD2" w:rsidRPr="00A13332" w:rsidRDefault="00205AD2" w:rsidP="00A13332">
      <w:pPr>
        <w:ind w:firstLine="0"/>
        <w:rPr>
          <w:b/>
          <w:bCs/>
        </w:rPr>
      </w:pPr>
      <w:r w:rsidRPr="00A13332">
        <w:rPr>
          <w:b/>
          <w:bCs/>
        </w:rPr>
        <w:t>Extended sequence context</w:t>
      </w:r>
      <w:r w:rsidRPr="00A13332">
        <w:rPr>
          <w:rFonts w:hint="eastAsia"/>
          <w:b/>
          <w:bCs/>
        </w:rPr>
        <w:t xml:space="preserve"> analysis</w:t>
      </w:r>
    </w:p>
    <w:p w14:paraId="636DF20F" w14:textId="77777777" w:rsidR="00205AD2" w:rsidRDefault="00205AD2" w:rsidP="00A13332">
      <w:r>
        <w:t xml:space="preserve">To analyze a specific signature and indel type of interest, we first identified the </w:t>
      </w:r>
      <w:r>
        <w:rPr>
          <w:rFonts w:hint="eastAsia"/>
        </w:rPr>
        <w:t>5</w:t>
      </w:r>
      <w:r>
        <w:t xml:space="preserve"> genomes with the highest </w:t>
      </w:r>
      <w:r>
        <w:rPr>
          <w:rFonts w:hint="eastAsia"/>
        </w:rPr>
        <w:t xml:space="preserve">contribution of the </w:t>
      </w:r>
      <w:r>
        <w:t>corresponding signature</w:t>
      </w:r>
      <w:r>
        <w:rPr>
          <w:rFonts w:hint="eastAsia"/>
        </w:rPr>
        <w:t xml:space="preserve"> activity</w:t>
      </w:r>
      <w:r>
        <w:t>. From these genomes, we extracted all indels of the relevant type. We then examined the nucleotide sequence within a 21-base pair window centered on each indel site (±10 nucleotides from the indel position). For each position within this window, we calculated the frequency of each nucleotide (A, T, C, and G).</w:t>
      </w:r>
      <w:r>
        <w:rPr>
          <w:rFonts w:hint="eastAsia"/>
        </w:rPr>
        <w:t xml:space="preserve"> The logo was plotted based on the frequency matrix by </w:t>
      </w:r>
      <w:proofErr w:type="spellStart"/>
      <w:r>
        <w:t>seqLogo</w:t>
      </w:r>
      <w:proofErr w:type="spellEnd"/>
      <w:r>
        <w:rPr>
          <w:rFonts w:hint="eastAsia"/>
        </w:rPr>
        <w:t xml:space="preserve"> function of </w:t>
      </w:r>
      <w:proofErr w:type="spellStart"/>
      <w:r>
        <w:t>seqLogo</w:t>
      </w:r>
      <w:proofErr w:type="spellEnd"/>
      <w:r>
        <w:rPr>
          <w:rFonts w:hint="eastAsia"/>
        </w:rPr>
        <w:t xml:space="preserve"> R package (version 1.71.0)</w:t>
      </w:r>
    </w:p>
    <w:p w14:paraId="0BEC1281" w14:textId="77777777" w:rsidR="008B34CF" w:rsidRPr="00205AD2" w:rsidRDefault="008B34CF" w:rsidP="00A13332"/>
    <w:sectPr w:rsidR="008B34CF" w:rsidRPr="00205AD2">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4160D7" w14:textId="77777777" w:rsidR="00160FBB" w:rsidRDefault="00160FBB" w:rsidP="00324C54">
      <w:pPr>
        <w:spacing w:after="0" w:line="240" w:lineRule="auto"/>
      </w:pPr>
      <w:r>
        <w:separator/>
      </w:r>
    </w:p>
  </w:endnote>
  <w:endnote w:type="continuationSeparator" w:id="0">
    <w:p w14:paraId="7E36AEFF" w14:textId="77777777" w:rsidR="00160FBB" w:rsidRDefault="00160FBB" w:rsidP="00324C5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DejaVu Sans">
    <w:altName w:val="Verdana"/>
    <w:panose1 w:val="00000000000000000000"/>
    <w:charset w:val="00"/>
    <w:family w:val="roman"/>
    <w:notTrueType/>
    <w:pitch w:val="default"/>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36F081" w14:textId="77777777" w:rsidR="00160FBB" w:rsidRDefault="00160FBB" w:rsidP="00324C54">
      <w:pPr>
        <w:spacing w:after="0" w:line="240" w:lineRule="auto"/>
      </w:pPr>
      <w:r>
        <w:separator/>
      </w:r>
    </w:p>
  </w:footnote>
  <w:footnote w:type="continuationSeparator" w:id="0">
    <w:p w14:paraId="34DF7DFF" w14:textId="77777777" w:rsidR="00160FBB" w:rsidRDefault="00160FBB" w:rsidP="00324C54">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5AD2"/>
    <w:rsid w:val="00061854"/>
    <w:rsid w:val="000D1649"/>
    <w:rsid w:val="00160FBB"/>
    <w:rsid w:val="001704F5"/>
    <w:rsid w:val="00205AD2"/>
    <w:rsid w:val="00232D0D"/>
    <w:rsid w:val="00324C54"/>
    <w:rsid w:val="004B39E2"/>
    <w:rsid w:val="005468D5"/>
    <w:rsid w:val="00555CBB"/>
    <w:rsid w:val="00601A0B"/>
    <w:rsid w:val="00603E52"/>
    <w:rsid w:val="007830FE"/>
    <w:rsid w:val="008A1BDF"/>
    <w:rsid w:val="008B34CF"/>
    <w:rsid w:val="009035A6"/>
    <w:rsid w:val="00910043"/>
    <w:rsid w:val="009613D6"/>
    <w:rsid w:val="00A13332"/>
    <w:rsid w:val="00B5179A"/>
    <w:rsid w:val="00B51867"/>
    <w:rsid w:val="00CC0867"/>
    <w:rsid w:val="00D079EC"/>
    <w:rsid w:val="00D160E2"/>
    <w:rsid w:val="00D67E4E"/>
    <w:rsid w:val="00DC07A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5CF5B74"/>
  <w14:defaultImageDpi w14:val="32767"/>
  <w15:chartTrackingRefBased/>
  <w15:docId w15:val="{DE1E95C9-4239-48C2-8DFA-1F7B0D60CA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5AD2"/>
    <w:pPr>
      <w:suppressAutoHyphens/>
      <w:spacing w:line="480" w:lineRule="auto"/>
      <w:ind w:firstLine="720"/>
    </w:pPr>
    <w:rPr>
      <w:rFonts w:ascii="Times New Roman" w:eastAsia="DejaVu Sans" w:hAnsi="Times New Roman" w:cs="Times New Roman"/>
      <w:kern w:val="0"/>
      <w:sz w:val="24"/>
      <w14:ligatures w14:val="none"/>
    </w:rPr>
  </w:style>
  <w:style w:type="paragraph" w:styleId="Heading1">
    <w:name w:val="heading 1"/>
    <w:basedOn w:val="Normal"/>
    <w:next w:val="Normal"/>
    <w:link w:val="Heading1Char"/>
    <w:uiPriority w:val="9"/>
    <w:qFormat/>
    <w:rsid w:val="00205AD2"/>
    <w:pPr>
      <w:keepNext/>
      <w:keepLines/>
      <w:widowControl w:val="0"/>
      <w:suppressAutoHyphens w:val="0"/>
      <w:spacing w:before="480" w:after="80" w:line="278" w:lineRule="auto"/>
      <w:ind w:firstLine="0"/>
      <w:outlineLvl w:val="0"/>
    </w:pPr>
    <w:rPr>
      <w:rFonts w:asciiTheme="majorHAnsi" w:eastAsiaTheme="majorEastAsia" w:hAnsiTheme="majorHAnsi" w:cstheme="majorBidi"/>
      <w:color w:val="0F4761" w:themeColor="accent1" w:themeShade="BF"/>
      <w:kern w:val="2"/>
      <w:sz w:val="48"/>
      <w:szCs w:val="48"/>
      <w14:ligatures w14:val="standardContextual"/>
    </w:rPr>
  </w:style>
  <w:style w:type="paragraph" w:styleId="Heading2">
    <w:name w:val="heading 2"/>
    <w:basedOn w:val="Normal"/>
    <w:next w:val="Normal"/>
    <w:link w:val="Heading2Char"/>
    <w:uiPriority w:val="9"/>
    <w:unhideWhenUsed/>
    <w:qFormat/>
    <w:rsid w:val="00205AD2"/>
    <w:pPr>
      <w:keepNext/>
      <w:keepLines/>
      <w:widowControl w:val="0"/>
      <w:suppressAutoHyphens w:val="0"/>
      <w:spacing w:before="160" w:after="80" w:line="278" w:lineRule="auto"/>
      <w:ind w:firstLine="0"/>
      <w:outlineLvl w:val="1"/>
    </w:pPr>
    <w:rPr>
      <w:rFonts w:asciiTheme="majorHAnsi" w:eastAsiaTheme="majorEastAsia" w:hAnsiTheme="majorHAnsi" w:cstheme="majorBidi"/>
      <w:color w:val="0F4761" w:themeColor="accent1" w:themeShade="BF"/>
      <w:kern w:val="2"/>
      <w:sz w:val="40"/>
      <w:szCs w:val="40"/>
      <w14:ligatures w14:val="standardContextual"/>
    </w:rPr>
  </w:style>
  <w:style w:type="paragraph" w:styleId="Heading3">
    <w:name w:val="heading 3"/>
    <w:basedOn w:val="Normal"/>
    <w:next w:val="Normal"/>
    <w:link w:val="Heading3Char"/>
    <w:uiPriority w:val="9"/>
    <w:semiHidden/>
    <w:unhideWhenUsed/>
    <w:qFormat/>
    <w:rsid w:val="00205AD2"/>
    <w:pPr>
      <w:keepNext/>
      <w:keepLines/>
      <w:widowControl w:val="0"/>
      <w:suppressAutoHyphens w:val="0"/>
      <w:spacing w:before="160" w:after="80" w:line="278" w:lineRule="auto"/>
      <w:ind w:firstLine="0"/>
      <w:outlineLvl w:val="2"/>
    </w:pPr>
    <w:rPr>
      <w:rFonts w:asciiTheme="majorHAnsi" w:eastAsiaTheme="majorEastAsia" w:hAnsiTheme="majorHAnsi" w:cstheme="majorBidi"/>
      <w:color w:val="0F4761" w:themeColor="accent1" w:themeShade="BF"/>
      <w:kern w:val="2"/>
      <w:sz w:val="32"/>
      <w:szCs w:val="32"/>
      <w14:ligatures w14:val="standardContextual"/>
    </w:rPr>
  </w:style>
  <w:style w:type="paragraph" w:styleId="Heading4">
    <w:name w:val="heading 4"/>
    <w:basedOn w:val="Normal"/>
    <w:next w:val="Normal"/>
    <w:link w:val="Heading4Char"/>
    <w:uiPriority w:val="9"/>
    <w:semiHidden/>
    <w:unhideWhenUsed/>
    <w:qFormat/>
    <w:rsid w:val="00205AD2"/>
    <w:pPr>
      <w:keepNext/>
      <w:keepLines/>
      <w:widowControl w:val="0"/>
      <w:suppressAutoHyphens w:val="0"/>
      <w:spacing w:before="80" w:after="40" w:line="278" w:lineRule="auto"/>
      <w:ind w:firstLine="0"/>
      <w:outlineLvl w:val="3"/>
    </w:pPr>
    <w:rPr>
      <w:rFonts w:asciiTheme="minorHAnsi" w:eastAsiaTheme="minorEastAsia" w:hAnsiTheme="minorHAnsi" w:cstheme="majorBidi"/>
      <w:color w:val="0F4761" w:themeColor="accent1" w:themeShade="BF"/>
      <w:kern w:val="2"/>
      <w:sz w:val="28"/>
      <w:szCs w:val="28"/>
      <w14:ligatures w14:val="standardContextual"/>
    </w:rPr>
  </w:style>
  <w:style w:type="paragraph" w:styleId="Heading5">
    <w:name w:val="heading 5"/>
    <w:basedOn w:val="Normal"/>
    <w:next w:val="Normal"/>
    <w:link w:val="Heading5Char"/>
    <w:uiPriority w:val="9"/>
    <w:semiHidden/>
    <w:unhideWhenUsed/>
    <w:qFormat/>
    <w:rsid w:val="00205AD2"/>
    <w:pPr>
      <w:keepNext/>
      <w:keepLines/>
      <w:widowControl w:val="0"/>
      <w:suppressAutoHyphens w:val="0"/>
      <w:spacing w:before="80" w:after="40" w:line="278" w:lineRule="auto"/>
      <w:ind w:firstLine="0"/>
      <w:outlineLvl w:val="4"/>
    </w:pPr>
    <w:rPr>
      <w:rFonts w:asciiTheme="minorHAnsi" w:eastAsiaTheme="minorEastAsia" w:hAnsiTheme="minorHAnsi" w:cstheme="majorBidi"/>
      <w:color w:val="0F4761" w:themeColor="accent1" w:themeShade="BF"/>
      <w:kern w:val="2"/>
      <w14:ligatures w14:val="standardContextual"/>
    </w:rPr>
  </w:style>
  <w:style w:type="paragraph" w:styleId="Heading6">
    <w:name w:val="heading 6"/>
    <w:basedOn w:val="Normal"/>
    <w:next w:val="Normal"/>
    <w:link w:val="Heading6Char"/>
    <w:uiPriority w:val="9"/>
    <w:semiHidden/>
    <w:unhideWhenUsed/>
    <w:qFormat/>
    <w:rsid w:val="00205AD2"/>
    <w:pPr>
      <w:keepNext/>
      <w:keepLines/>
      <w:widowControl w:val="0"/>
      <w:suppressAutoHyphens w:val="0"/>
      <w:spacing w:before="40" w:after="0" w:line="278" w:lineRule="auto"/>
      <w:ind w:firstLine="0"/>
      <w:outlineLvl w:val="5"/>
    </w:pPr>
    <w:rPr>
      <w:rFonts w:asciiTheme="minorHAnsi" w:eastAsiaTheme="minorEastAsia" w:hAnsiTheme="minorHAnsi" w:cstheme="majorBidi"/>
      <w:b/>
      <w:bCs/>
      <w:color w:val="0F4761" w:themeColor="accent1" w:themeShade="BF"/>
      <w:kern w:val="2"/>
      <w:sz w:val="22"/>
      <w14:ligatures w14:val="standardContextual"/>
    </w:rPr>
  </w:style>
  <w:style w:type="paragraph" w:styleId="Heading7">
    <w:name w:val="heading 7"/>
    <w:basedOn w:val="Normal"/>
    <w:next w:val="Normal"/>
    <w:link w:val="Heading7Char"/>
    <w:uiPriority w:val="9"/>
    <w:semiHidden/>
    <w:unhideWhenUsed/>
    <w:qFormat/>
    <w:rsid w:val="00205AD2"/>
    <w:pPr>
      <w:keepNext/>
      <w:keepLines/>
      <w:widowControl w:val="0"/>
      <w:suppressAutoHyphens w:val="0"/>
      <w:spacing w:before="40" w:after="0" w:line="278" w:lineRule="auto"/>
      <w:ind w:firstLine="0"/>
      <w:outlineLvl w:val="6"/>
    </w:pPr>
    <w:rPr>
      <w:rFonts w:asciiTheme="minorHAnsi" w:eastAsiaTheme="minorEastAsia" w:hAnsiTheme="minorHAnsi" w:cstheme="majorBidi"/>
      <w:b/>
      <w:bCs/>
      <w:color w:val="595959" w:themeColor="text1" w:themeTint="A6"/>
      <w:kern w:val="2"/>
      <w:sz w:val="22"/>
      <w14:ligatures w14:val="standardContextual"/>
    </w:rPr>
  </w:style>
  <w:style w:type="paragraph" w:styleId="Heading8">
    <w:name w:val="heading 8"/>
    <w:basedOn w:val="Normal"/>
    <w:next w:val="Normal"/>
    <w:link w:val="Heading8Char"/>
    <w:uiPriority w:val="9"/>
    <w:semiHidden/>
    <w:unhideWhenUsed/>
    <w:qFormat/>
    <w:rsid w:val="00205AD2"/>
    <w:pPr>
      <w:keepNext/>
      <w:keepLines/>
      <w:widowControl w:val="0"/>
      <w:suppressAutoHyphens w:val="0"/>
      <w:spacing w:after="0" w:line="278" w:lineRule="auto"/>
      <w:ind w:firstLine="0"/>
      <w:outlineLvl w:val="7"/>
    </w:pPr>
    <w:rPr>
      <w:rFonts w:asciiTheme="minorHAnsi" w:eastAsiaTheme="minorEastAsia" w:hAnsiTheme="minorHAnsi" w:cstheme="majorBidi"/>
      <w:color w:val="595959" w:themeColor="text1" w:themeTint="A6"/>
      <w:kern w:val="2"/>
      <w:sz w:val="22"/>
      <w14:ligatures w14:val="standardContextual"/>
    </w:rPr>
  </w:style>
  <w:style w:type="paragraph" w:styleId="Heading9">
    <w:name w:val="heading 9"/>
    <w:basedOn w:val="Normal"/>
    <w:next w:val="Normal"/>
    <w:link w:val="Heading9Char"/>
    <w:uiPriority w:val="9"/>
    <w:semiHidden/>
    <w:unhideWhenUsed/>
    <w:qFormat/>
    <w:rsid w:val="00205AD2"/>
    <w:pPr>
      <w:keepNext/>
      <w:keepLines/>
      <w:widowControl w:val="0"/>
      <w:suppressAutoHyphens w:val="0"/>
      <w:spacing w:after="0" w:line="278" w:lineRule="auto"/>
      <w:ind w:firstLine="0"/>
      <w:outlineLvl w:val="8"/>
    </w:pPr>
    <w:rPr>
      <w:rFonts w:asciiTheme="minorHAnsi" w:eastAsiaTheme="majorEastAsia" w:hAnsiTheme="minorHAnsi" w:cstheme="majorBidi"/>
      <w:color w:val="595959" w:themeColor="text1" w:themeTint="A6"/>
      <w:kern w:val="2"/>
      <w:sz w:val="22"/>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qFormat/>
    <w:rsid w:val="00205AD2"/>
    <w:rPr>
      <w:rFonts w:asciiTheme="majorHAnsi" w:eastAsiaTheme="majorEastAsia" w:hAnsiTheme="majorHAnsi" w:cstheme="majorBidi"/>
      <w:color w:val="0F4761" w:themeColor="accent1" w:themeShade="BF"/>
      <w:sz w:val="48"/>
      <w:szCs w:val="48"/>
    </w:rPr>
  </w:style>
  <w:style w:type="character" w:customStyle="1" w:styleId="Heading2Char">
    <w:name w:val="Heading 2 Char"/>
    <w:basedOn w:val="DefaultParagraphFont"/>
    <w:link w:val="Heading2"/>
    <w:qFormat/>
    <w:rsid w:val="00205AD2"/>
    <w:rPr>
      <w:rFonts w:asciiTheme="majorHAnsi" w:eastAsiaTheme="majorEastAsia" w:hAnsiTheme="majorHAnsi" w:cstheme="majorBidi"/>
      <w:color w:val="0F4761" w:themeColor="accent1" w:themeShade="BF"/>
      <w:sz w:val="40"/>
      <w:szCs w:val="40"/>
    </w:rPr>
  </w:style>
  <w:style w:type="character" w:customStyle="1" w:styleId="Heading3Char">
    <w:name w:val="Heading 3 Char"/>
    <w:basedOn w:val="DefaultParagraphFont"/>
    <w:link w:val="Heading3"/>
    <w:uiPriority w:val="9"/>
    <w:semiHidden/>
    <w:rsid w:val="00205AD2"/>
    <w:rPr>
      <w:rFonts w:asciiTheme="majorHAnsi" w:eastAsiaTheme="majorEastAsia" w:hAnsiTheme="majorHAnsi" w:cstheme="majorBidi"/>
      <w:color w:val="0F4761" w:themeColor="accent1" w:themeShade="BF"/>
      <w:sz w:val="32"/>
      <w:szCs w:val="32"/>
    </w:rPr>
  </w:style>
  <w:style w:type="character" w:customStyle="1" w:styleId="Heading4Char">
    <w:name w:val="Heading 4 Char"/>
    <w:basedOn w:val="DefaultParagraphFont"/>
    <w:link w:val="Heading4"/>
    <w:uiPriority w:val="9"/>
    <w:semiHidden/>
    <w:rsid w:val="00205AD2"/>
    <w:rPr>
      <w:rFonts w:cstheme="majorBidi"/>
      <w:color w:val="0F4761" w:themeColor="accent1" w:themeShade="BF"/>
      <w:sz w:val="28"/>
      <w:szCs w:val="28"/>
    </w:rPr>
  </w:style>
  <w:style w:type="character" w:customStyle="1" w:styleId="Heading5Char">
    <w:name w:val="Heading 5 Char"/>
    <w:basedOn w:val="DefaultParagraphFont"/>
    <w:link w:val="Heading5"/>
    <w:uiPriority w:val="9"/>
    <w:semiHidden/>
    <w:rsid w:val="00205AD2"/>
    <w:rPr>
      <w:rFonts w:cstheme="majorBidi"/>
      <w:color w:val="0F4761" w:themeColor="accent1" w:themeShade="BF"/>
      <w:sz w:val="24"/>
    </w:rPr>
  </w:style>
  <w:style w:type="character" w:customStyle="1" w:styleId="Heading6Char">
    <w:name w:val="Heading 6 Char"/>
    <w:basedOn w:val="DefaultParagraphFont"/>
    <w:link w:val="Heading6"/>
    <w:uiPriority w:val="9"/>
    <w:semiHidden/>
    <w:rsid w:val="00205AD2"/>
    <w:rPr>
      <w:rFonts w:cstheme="majorBidi"/>
      <w:b/>
      <w:bCs/>
      <w:color w:val="0F4761" w:themeColor="accent1" w:themeShade="BF"/>
    </w:rPr>
  </w:style>
  <w:style w:type="character" w:customStyle="1" w:styleId="Heading7Char">
    <w:name w:val="Heading 7 Char"/>
    <w:basedOn w:val="DefaultParagraphFont"/>
    <w:link w:val="Heading7"/>
    <w:uiPriority w:val="9"/>
    <w:semiHidden/>
    <w:rsid w:val="00205AD2"/>
    <w:rPr>
      <w:rFonts w:cstheme="majorBidi"/>
      <w:b/>
      <w:bCs/>
      <w:color w:val="595959" w:themeColor="text1" w:themeTint="A6"/>
    </w:rPr>
  </w:style>
  <w:style w:type="character" w:customStyle="1" w:styleId="Heading8Char">
    <w:name w:val="Heading 8 Char"/>
    <w:basedOn w:val="DefaultParagraphFont"/>
    <w:link w:val="Heading8"/>
    <w:uiPriority w:val="9"/>
    <w:semiHidden/>
    <w:rsid w:val="00205AD2"/>
    <w:rPr>
      <w:rFonts w:cstheme="majorBidi"/>
      <w:color w:val="595959" w:themeColor="text1" w:themeTint="A6"/>
    </w:rPr>
  </w:style>
  <w:style w:type="character" w:customStyle="1" w:styleId="Heading9Char">
    <w:name w:val="Heading 9 Char"/>
    <w:basedOn w:val="DefaultParagraphFont"/>
    <w:link w:val="Heading9"/>
    <w:uiPriority w:val="9"/>
    <w:semiHidden/>
    <w:rsid w:val="00205AD2"/>
    <w:rPr>
      <w:rFonts w:eastAsiaTheme="majorEastAsia" w:cstheme="majorBidi"/>
      <w:color w:val="595959" w:themeColor="text1" w:themeTint="A6"/>
    </w:rPr>
  </w:style>
  <w:style w:type="paragraph" w:styleId="Title">
    <w:name w:val="Title"/>
    <w:basedOn w:val="Normal"/>
    <w:next w:val="Normal"/>
    <w:link w:val="TitleChar"/>
    <w:uiPriority w:val="10"/>
    <w:qFormat/>
    <w:rsid w:val="00205AD2"/>
    <w:pPr>
      <w:widowControl w:val="0"/>
      <w:suppressAutoHyphens w:val="0"/>
      <w:spacing w:after="80" w:line="240" w:lineRule="auto"/>
      <w:ind w:firstLine="0"/>
      <w:contextualSpacing/>
      <w:jc w:val="center"/>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205AD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05AD2"/>
    <w:pPr>
      <w:widowControl w:val="0"/>
      <w:numPr>
        <w:ilvl w:val="1"/>
      </w:numPr>
      <w:suppressAutoHyphens w:val="0"/>
      <w:spacing w:line="278" w:lineRule="auto"/>
      <w:ind w:firstLine="720"/>
      <w:jc w:val="center"/>
    </w:pPr>
    <w:rPr>
      <w:rFonts w:asciiTheme="majorHAnsi" w:eastAsiaTheme="majorEastAsia" w:hAnsiTheme="majorHAnsi"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205AD2"/>
    <w:rPr>
      <w:rFonts w:asciiTheme="majorHAnsi" w:eastAsiaTheme="majorEastAsia" w:hAnsiTheme="majorHAnsi" w:cstheme="majorBidi"/>
      <w:color w:val="595959" w:themeColor="text1" w:themeTint="A6"/>
      <w:spacing w:val="15"/>
      <w:sz w:val="28"/>
      <w:szCs w:val="28"/>
    </w:rPr>
  </w:style>
  <w:style w:type="paragraph" w:styleId="Quote">
    <w:name w:val="Quote"/>
    <w:basedOn w:val="Normal"/>
    <w:next w:val="Normal"/>
    <w:link w:val="QuoteChar"/>
    <w:uiPriority w:val="29"/>
    <w:qFormat/>
    <w:rsid w:val="00205AD2"/>
    <w:pPr>
      <w:widowControl w:val="0"/>
      <w:suppressAutoHyphens w:val="0"/>
      <w:spacing w:before="160" w:line="278" w:lineRule="auto"/>
      <w:ind w:firstLine="0"/>
      <w:jc w:val="center"/>
    </w:pPr>
    <w:rPr>
      <w:rFonts w:asciiTheme="minorHAnsi" w:eastAsiaTheme="minorEastAsia" w:hAnsiTheme="minorHAnsi" w:cstheme="minorBidi"/>
      <w:i/>
      <w:iCs/>
      <w:color w:val="404040" w:themeColor="text1" w:themeTint="BF"/>
      <w:kern w:val="2"/>
      <w:sz w:val="22"/>
      <w14:ligatures w14:val="standardContextual"/>
    </w:rPr>
  </w:style>
  <w:style w:type="character" w:customStyle="1" w:styleId="QuoteChar">
    <w:name w:val="Quote Char"/>
    <w:basedOn w:val="DefaultParagraphFont"/>
    <w:link w:val="Quote"/>
    <w:uiPriority w:val="29"/>
    <w:rsid w:val="00205AD2"/>
    <w:rPr>
      <w:i/>
      <w:iCs/>
      <w:color w:val="404040" w:themeColor="text1" w:themeTint="BF"/>
    </w:rPr>
  </w:style>
  <w:style w:type="paragraph" w:styleId="ListParagraph">
    <w:name w:val="List Paragraph"/>
    <w:basedOn w:val="Normal"/>
    <w:uiPriority w:val="34"/>
    <w:qFormat/>
    <w:rsid w:val="00205AD2"/>
    <w:pPr>
      <w:widowControl w:val="0"/>
      <w:suppressAutoHyphens w:val="0"/>
      <w:spacing w:line="278" w:lineRule="auto"/>
      <w:ind w:left="720" w:firstLine="0"/>
      <w:contextualSpacing/>
    </w:pPr>
    <w:rPr>
      <w:rFonts w:asciiTheme="minorHAnsi" w:eastAsiaTheme="minorEastAsia" w:hAnsiTheme="minorHAnsi" w:cstheme="minorBidi"/>
      <w:kern w:val="2"/>
      <w:sz w:val="22"/>
      <w14:ligatures w14:val="standardContextual"/>
    </w:rPr>
  </w:style>
  <w:style w:type="character" w:styleId="IntenseEmphasis">
    <w:name w:val="Intense Emphasis"/>
    <w:basedOn w:val="DefaultParagraphFont"/>
    <w:uiPriority w:val="21"/>
    <w:qFormat/>
    <w:rsid w:val="00205AD2"/>
    <w:rPr>
      <w:i/>
      <w:iCs/>
      <w:color w:val="0F4761" w:themeColor="accent1" w:themeShade="BF"/>
    </w:rPr>
  </w:style>
  <w:style w:type="paragraph" w:styleId="IntenseQuote">
    <w:name w:val="Intense Quote"/>
    <w:basedOn w:val="Normal"/>
    <w:next w:val="Normal"/>
    <w:link w:val="IntenseQuoteChar"/>
    <w:uiPriority w:val="30"/>
    <w:qFormat/>
    <w:rsid w:val="00205AD2"/>
    <w:pPr>
      <w:widowControl w:val="0"/>
      <w:pBdr>
        <w:top w:val="single" w:sz="4" w:space="10" w:color="0F4761" w:themeColor="accent1" w:themeShade="BF"/>
        <w:bottom w:val="single" w:sz="4" w:space="10" w:color="0F4761" w:themeColor="accent1" w:themeShade="BF"/>
      </w:pBdr>
      <w:suppressAutoHyphens w:val="0"/>
      <w:spacing w:before="360" w:after="360" w:line="278" w:lineRule="auto"/>
      <w:ind w:left="864" w:right="864" w:firstLine="0"/>
      <w:jc w:val="center"/>
    </w:pPr>
    <w:rPr>
      <w:rFonts w:asciiTheme="minorHAnsi" w:eastAsiaTheme="minorEastAsia" w:hAnsiTheme="minorHAnsi" w:cstheme="minorBidi"/>
      <w:i/>
      <w:iCs/>
      <w:color w:val="0F4761" w:themeColor="accent1" w:themeShade="BF"/>
      <w:kern w:val="2"/>
      <w:sz w:val="22"/>
      <w14:ligatures w14:val="standardContextual"/>
    </w:rPr>
  </w:style>
  <w:style w:type="character" w:customStyle="1" w:styleId="IntenseQuoteChar">
    <w:name w:val="Intense Quote Char"/>
    <w:basedOn w:val="DefaultParagraphFont"/>
    <w:link w:val="IntenseQuote"/>
    <w:uiPriority w:val="30"/>
    <w:rsid w:val="00205AD2"/>
    <w:rPr>
      <w:i/>
      <w:iCs/>
      <w:color w:val="0F4761" w:themeColor="accent1" w:themeShade="BF"/>
    </w:rPr>
  </w:style>
  <w:style w:type="character" w:styleId="IntenseReference">
    <w:name w:val="Intense Reference"/>
    <w:basedOn w:val="DefaultParagraphFont"/>
    <w:uiPriority w:val="32"/>
    <w:qFormat/>
    <w:rsid w:val="00205AD2"/>
    <w:rPr>
      <w:b/>
      <w:bCs/>
      <w:smallCaps/>
      <w:color w:val="0F4761" w:themeColor="accent1" w:themeShade="BF"/>
      <w:spacing w:val="5"/>
    </w:rPr>
  </w:style>
  <w:style w:type="character" w:styleId="Hyperlink">
    <w:name w:val="Hyperlink"/>
    <w:basedOn w:val="DefaultParagraphFont"/>
    <w:rsid w:val="00205AD2"/>
    <w:rPr>
      <w:color w:val="467886" w:themeColor="hyperlink"/>
      <w:u w:val="single"/>
    </w:rPr>
  </w:style>
  <w:style w:type="character" w:customStyle="1" w:styleId="normalfirstChar">
    <w:name w:val="normal_first Char"/>
    <w:basedOn w:val="DefaultParagraphFont"/>
    <w:link w:val="normalfirst"/>
    <w:qFormat/>
    <w:rsid w:val="00205AD2"/>
    <w:rPr>
      <w:rFonts w:ascii="Times New Roman" w:hAnsi="Times New Roman" w:cs="Times New Roman"/>
      <w:sz w:val="24"/>
    </w:rPr>
  </w:style>
  <w:style w:type="paragraph" w:customStyle="1" w:styleId="normalfirst">
    <w:name w:val="normal_first"/>
    <w:basedOn w:val="Normal"/>
    <w:link w:val="normalfirstChar"/>
    <w:qFormat/>
    <w:rsid w:val="00205AD2"/>
    <w:pPr>
      <w:ind w:firstLine="0"/>
    </w:pPr>
    <w:rPr>
      <w:rFonts w:eastAsiaTheme="minorEastAsia"/>
      <w:kern w:val="2"/>
      <w14:ligatures w14:val="standardContextual"/>
    </w:rPr>
  </w:style>
  <w:style w:type="character" w:styleId="UnresolvedMention">
    <w:name w:val="Unresolved Mention"/>
    <w:basedOn w:val="DefaultParagraphFont"/>
    <w:uiPriority w:val="99"/>
    <w:semiHidden/>
    <w:unhideWhenUsed/>
    <w:rsid w:val="004B39E2"/>
    <w:rPr>
      <w:color w:val="605E5C"/>
      <w:shd w:val="clear" w:color="auto" w:fill="E1DFDD"/>
    </w:rPr>
  </w:style>
  <w:style w:type="paragraph" w:styleId="Header">
    <w:name w:val="header"/>
    <w:basedOn w:val="Normal"/>
    <w:link w:val="HeaderChar"/>
    <w:uiPriority w:val="99"/>
    <w:unhideWhenUsed/>
    <w:rsid w:val="00324C54"/>
    <w:pPr>
      <w:tabs>
        <w:tab w:val="center" w:pos="4153"/>
        <w:tab w:val="right" w:pos="8306"/>
      </w:tabs>
      <w:snapToGrid w:val="0"/>
      <w:spacing w:line="240" w:lineRule="auto"/>
      <w:jc w:val="center"/>
    </w:pPr>
    <w:rPr>
      <w:sz w:val="18"/>
      <w:szCs w:val="18"/>
    </w:rPr>
  </w:style>
  <w:style w:type="character" w:customStyle="1" w:styleId="HeaderChar">
    <w:name w:val="Header Char"/>
    <w:basedOn w:val="DefaultParagraphFont"/>
    <w:link w:val="Header"/>
    <w:uiPriority w:val="99"/>
    <w:rsid w:val="00324C54"/>
    <w:rPr>
      <w:rFonts w:ascii="Times New Roman" w:eastAsia="DejaVu Sans" w:hAnsi="Times New Roman" w:cs="Times New Roman"/>
      <w:kern w:val="0"/>
      <w:sz w:val="18"/>
      <w:szCs w:val="18"/>
      <w14:ligatures w14:val="none"/>
    </w:rPr>
  </w:style>
  <w:style w:type="paragraph" w:styleId="Footer">
    <w:name w:val="footer"/>
    <w:basedOn w:val="Normal"/>
    <w:link w:val="FooterChar"/>
    <w:uiPriority w:val="99"/>
    <w:unhideWhenUsed/>
    <w:rsid w:val="00324C54"/>
    <w:pPr>
      <w:tabs>
        <w:tab w:val="center" w:pos="4153"/>
        <w:tab w:val="right" w:pos="8306"/>
      </w:tabs>
      <w:snapToGrid w:val="0"/>
      <w:spacing w:line="240" w:lineRule="auto"/>
    </w:pPr>
    <w:rPr>
      <w:sz w:val="18"/>
      <w:szCs w:val="18"/>
    </w:rPr>
  </w:style>
  <w:style w:type="character" w:customStyle="1" w:styleId="FooterChar">
    <w:name w:val="Footer Char"/>
    <w:basedOn w:val="DefaultParagraphFont"/>
    <w:link w:val="Footer"/>
    <w:uiPriority w:val="99"/>
    <w:rsid w:val="00324C54"/>
    <w:rPr>
      <w:rFonts w:ascii="Times New Roman" w:eastAsia="DejaVu Sans" w:hAnsi="Times New Roman" w:cs="Times New Roman"/>
      <w:kern w:val="0"/>
      <w:sz w:val="18"/>
      <w:szCs w:val="18"/>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cancer.sanger.ac.uk/signatures/id/" TargetMode="External"/><Relationship Id="rId13" Type="http://schemas.openxmlformats.org/officeDocument/2006/relationships/hyperlink" Target="https://www.synapse.org/" TargetMode="External"/><Relationship Id="rId3" Type="http://schemas.openxmlformats.org/officeDocument/2006/relationships/webSettings" Target="webSettings.xml"/><Relationship Id="rId7" Type="http://schemas.openxmlformats.org/officeDocument/2006/relationships/hyperlink" Target="https://cancer.sanger.ac.uk/cosmic/census?tier=1" TargetMode="External"/><Relationship Id="rId12" Type="http://schemas.openxmlformats.org/officeDocument/2006/relationships/hyperlink" Target="https://genomebiology.biomedcentral.com/articles/10.1186/s13059-018-1509-y" TargetMode="Externa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dcc.icgc.org/releases/current/Projects/" TargetMode="External"/><Relationship Id="rId11" Type="http://schemas.openxmlformats.org/officeDocument/2006/relationships/hyperlink" Target="https://hgdownload.cse.ucsc.edu/goldenPath/hg19/encodeDCC/wgEncodeUwRepliSeq/" TargetMode="External"/><Relationship Id="rId5" Type="http://schemas.openxmlformats.org/officeDocument/2006/relationships/endnotes" Target="endnotes.xml"/><Relationship Id="rId15" Type="http://schemas.openxmlformats.org/officeDocument/2006/relationships/theme" Target="theme/theme1.xml"/><Relationship Id="rId10" Type="http://schemas.openxmlformats.org/officeDocument/2006/relationships/hyperlink" Target="https://doi.org/10.1016/j.celrep.2023.112930" TargetMode="External"/><Relationship Id="rId4" Type="http://schemas.openxmlformats.org/officeDocument/2006/relationships/footnotes" Target="footnotes.xml"/><Relationship Id="rId9" Type="http://schemas.openxmlformats.org/officeDocument/2006/relationships/hyperlink" Target="https://bmcbioinformatics.biomedcentral.com/articles/10.1186/s12859-020-03772-3"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224</TotalTime>
  <Pages>9</Pages>
  <Words>2019</Words>
  <Characters>11513</Characters>
  <Application>Microsoft Office Word</Application>
  <DocSecurity>0</DocSecurity>
  <Lines>95</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13505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 Liu</dc:creator>
  <cp:keywords/>
  <dc:description/>
  <cp:lastModifiedBy>Mo Liu</cp:lastModifiedBy>
  <cp:revision>17</cp:revision>
  <dcterms:created xsi:type="dcterms:W3CDTF">2026-01-18T11:33:00Z</dcterms:created>
  <dcterms:modified xsi:type="dcterms:W3CDTF">2026-01-20T08:45:00Z</dcterms:modified>
</cp:coreProperties>
</file>