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fill="FFFF00" w:val="clear"/>
        </w:rPr>
        <w:t>signatures’ presence in tumors</w:t>
      </w:r>
      <w:r>
        <w:rPr/>
        <w:t xml:space="preserve"> and signatures’ relationships to genomic topography. </w:t>
      </w:r>
    </w:p>
    <w:p>
      <w:pPr>
        <w:pStyle w:val="normalfirst"/>
        <w:rPr/>
      </w:pPr>
      <w:r>
        <w:rPr/>
        <w:t>(Currently 244 words)</w:t>
      </w:r>
    </w:p>
    <w:p>
      <w:pPr>
        <w:pStyle w:val="normalfirst"/>
        <w:rPr/>
      </w:pPr>
      <w:r>
        <w:rPr/>
      </w:r>
    </w:p>
    <w:p>
      <w:pPr>
        <w:pStyle w:val="normalfirst"/>
        <w:rPr/>
      </w:pPr>
      <w:r>
        <w:rPr/>
      </w:r>
    </w:p>
    <w:p>
      <w:pPr>
        <w:pStyle w:val="normalfirst"/>
        <w:rPr/>
      </w:pPr>
      <w:r>
        <w:rPr/>
      </w:r>
    </w:p>
    <w:p>
      <w:pPr>
        <w:pStyle w:val="Normal"/>
        <w:rPr/>
      </w:pPr>
      <w:r>
        <w:rPr/>
        <w:t xml:space="preserve">NOTES On possible journals: abstract word limits:, nat genet abst limit 150, 4000 words 8 display items;  cancer research, 250 words; cancer discovery 150 words; cell genomics, 150 words; genome research 250 words; </w:t>
      </w:r>
      <w:r>
        <w:rPr>
          <w:shd w:fill="FFFF00" w:val="clear"/>
        </w:rPr>
        <w:t xml:space="preserve">Elife? Cell / cell genomics resource? </w:t>
      </w:r>
      <w:hyperlink r:id="rId3">
        <w:r>
          <w:rPr>
            <w:rStyle w:val="Hyperlink"/>
            <w:shd w:fill="FFFF00" w:val="clear"/>
          </w:rPr>
          <w:t>https://share.google/aimode/QKRo26NUhoR9S8WBd</w:t>
        </w:r>
      </w:hyperlink>
      <w:r>
        <w:rPr>
          <w:shd w:fill="FFFF00" w:val="clear"/>
        </w:rPr>
        <w:t xml:space="preserve"> </w:t>
      </w:r>
    </w:p>
    <w:p>
      <w:pPr>
        <w:pStyle w:val="Normal"/>
        <w:rPr>
          <w:shd w:fill="FFFF00" w:val="clear"/>
        </w:rPr>
      </w:pPr>
      <w:r>
        <w:rPr>
          <w:shd w:fill="FFFF00" w:val="clear"/>
        </w:rPr>
        <w:t xml:space="preserve">Cell Resource: </w:t>
      </w:r>
      <w:hyperlink r:id="rId4">
        <w:r>
          <w:rPr>
            <w:rStyle w:val="Hyperlink"/>
            <w:shd w:fill="FFFF00" w:val="clear"/>
          </w:rPr>
          <w:t>https://share.google/aimode/WwQBtrZhnQtX3IRmf</w:t>
        </w:r>
      </w:hyperlink>
    </w:p>
    <w:p>
      <w:pPr>
        <w:pStyle w:val="Normal"/>
        <w:rPr>
          <w:shd w:fill="FFFF00" w:val="clear"/>
        </w:rPr>
      </w:pPr>
      <w:r>
        <w:rPr>
          <w:shd w:fill="FFFF00" w:val="clear"/>
        </w:rPr>
        <w:t>https://share.google/aimode/oq2obmCUzjqylWw4j</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5">
        <w:r>
          <w:rPr>
            <w:rStyle w:val="Hyperlink"/>
          </w:rPr>
          <w:t>https://signal.mutationalsignatures.com/explore/main/cancer/signatures?mutationType=3&amp;study=7</w:t>
        </w:r>
      </w:hyperlink>
      <w:r>
        <w:rPr>
          <w:rStyle w:val="Hyperlink"/>
        </w:rPr>
        <w:t xml:space="preserve"> </w:t>
      </w:r>
      <w:r>
        <w:rPr/>
        <w:t>We extracted from 32 types &gt; 4 times as many (koh extracted from 7)</w:t>
      </w:r>
    </w:p>
    <w:p>
      <w:pPr>
        <w:pStyle w:val="Heading1"/>
        <w:spacing w:before="0" w:after="120"/>
        <w:rPr>
          <w:b w:val="false"/>
          <w:bCs w:val="false"/>
        </w:rPr>
      </w:pPr>
      <w:r>
        <w:rPr>
          <w:b w:val="false"/>
          <w:bCs w:val="false"/>
          <w:shd w:fill="FFFF00" w:val="clear"/>
        </w:rPr>
        <w:t>“</w:t>
      </w:r>
      <w:r>
        <w:rPr>
          <w:b w:val="false"/>
          <w:bCs w:val="false"/>
          <w:shd w:fill="FFFF00" w:val="clear"/>
        </w:rPr>
        <w:t>Resource” in CELL</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rPr/>
        <w:t>(Koh et al. 2025)</w:t>
      </w:r>
      <w:bookmarkEnd w:id="12"/>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w:t>
      </w:r>
      <w:r>
        <w:rPr>
          <w:shd w:fill="auto" w:val="clear"/>
        </w:rPr>
        <w:t>deletions of A</w:t>
      </w:r>
      <w:r>
        <w:rPr>
          <w:shd w:fill="auto" w:val="clear"/>
        </w:rPr>
        <w:t>TA→AA or ATTA&gt;ATA are distinguished from deletions of CTA&gt;CA or CTTA&gt;CT</w:t>
      </w:r>
      <w:r>
        <w:rPr>
          <w:shd w:fill="auto" w:val="clear"/>
        </w:rPr>
        <w:t xml:space="preserve">A, distinctions that the 83-type classification does not capture. At the same time, however, for deletions </w:t>
      </w:r>
      <w:r>
        <w:rPr/>
        <w:t xml:space="preserve">of a single T, the 89-type classification groups together deletions of a single T in isolation along with deletions of a single T from repeats of 2 to 4 Ts, a distinction that the 83-type and 476-type classification schemes capture (Figure 1B versus Figure 1C).  </w:t>
      </w:r>
      <w:r>
        <w:rPr>
          <w:shd w:fill="FFFF00" w:val="clear"/>
        </w:rPr>
        <w:t>ADD 476 to FIG 1 and delete SBS and DBS or move to sup fig</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types</w:t>
      </w:r>
      <w:r>
        <w:rPr>
          <w:shd w:fill="FFFF00" w:val="clear"/>
        </w:rPr>
        <w:t xml:space="preserve"> </w:t>
      </w:r>
      <w:r>
        <w:rPr/>
        <w:t xml:space="preserve">using a method based on hierarchical Dirichlet processes  </w:t>
      </w:r>
      <w:bookmarkStart w:id="13" w:name="ZOTERO_BREF_sXKgi2ptdMXh"/>
      <w:r>
        <w:rPr/>
        <w:t>(Liu et al. 2023)</w:t>
      </w:r>
      <w:bookmarkEnd w:id="13"/>
      <w:r>
        <w:rPr/>
        <w:t xml:space="preserve">, and SigProfilerExtractor (SigPro), a method based on non-negative matrix factorization </w:t>
      </w:r>
      <w:bookmarkStart w:id="14" w:name="ZOTERO_BREF_Ax2rB3g50il2"/>
      <w:r>
        <w:rPr/>
        <w:t>(Islam et al. 2022)</w:t>
      </w:r>
      <w:bookmarkEnd w:id="14"/>
      <w:r>
        <w:rPr/>
        <w:t xml:space="preserve">. The extracted signatures were broadly consistent between the two methods </w:t>
      </w:r>
      <w:r>
        <w:rPr>
          <w:shd w:fill="FFFF00" w:val="clear"/>
        </w:rPr>
        <w:t>(</w:t>
      </w:r>
      <w:r>
        <w:rPr>
          <w:shd w:fill="FFFF00" w:val="clear"/>
        </w:rPr>
        <w:t>reference table 1, shiny app, our vignette</w:t>
      </w:r>
      <w:r>
        <w:rPr>
          <w:shd w:fill="FFFF00" w:val="clear"/>
        </w:rPr>
        <w:t xml:space="preserve">), </w:t>
      </w:r>
      <w:r>
        <w:rPr/>
        <w:t xml:space="preserve">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w:t>
      </w:r>
    </w:p>
    <w:p>
      <w:pPr>
        <w:pStyle w:val="normalfirst"/>
        <w:ind w:firstLine="720"/>
        <w:rPr/>
      </w:pPr>
      <w:r>
        <w:rPr/>
        <w:t xml:space="preserve">Because lossless translation between signatures in the 83-type and the two new classification schemes is impossible </w:t>
      </w:r>
      <w:r>
        <w:rPr>
          <w:shd w:fill="FFFF00" w:val="clear"/>
        </w:rPr>
        <w:t>&lt;</w:t>
      </w:r>
      <w:r>
        <w:rPr>
          <w:shd w:fill="FFFF00" w:val="clear"/>
        </w:rPr>
        <w:t>steve create sup table from .csv file and call it sup_table_no_translation.xlsx&gt;</w:t>
      </w:r>
      <w:r>
        <w:rPr>
          <w:shd w:fill="auto" w:val="clear"/>
        </w:rPr>
        <w:t>, we used th</w:t>
      </w:r>
      <w:r>
        <w:rPr>
          <w:shd w:fill="auto" w:val="clear"/>
        </w:rPr>
        <w:t>e</w:t>
      </w:r>
      <w:r>
        <w:rPr>
          <w:shd w:fill="auto" w:val="clear"/>
        </w:rPr>
        <w:t xml:space="preserve"> tu</w:t>
      </w:r>
      <w:r>
        <w:rPr/>
        <w:t xml:space="preserve">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fill="FFFF00" w:val="clear"/>
        </w:rPr>
        <w:t>&lt;</w:t>
      </w:r>
      <w:r>
        <w:rPr>
          <w:shd w:fill="FFFF00" w:val="clear"/>
        </w:rPr>
        <w:t xml:space="preserve">cite </w:t>
      </w:r>
      <w:r>
        <w:rPr>
          <w:shd w:fill="FFFF00" w:val="clear"/>
        </w:rPr>
        <w:t xml:space="preserve">vignette and </w:t>
      </w:r>
      <w:r>
        <w:rPr>
          <w:shd w:fill="FFFF00" w:val="clear"/>
        </w:rPr>
        <w:t>shiny app</w:t>
      </w:r>
      <w:r>
        <w:rPr>
          <w:shd w:fill="FFFF00" w:val="clear"/>
        </w:rPr>
        <w:t>&gt;</w:t>
      </w:r>
      <w:r>
        <w:rPr/>
        <w:t xml:space="preserve">. </w:t>
      </w:r>
    </w:p>
    <w:p>
      <w:pPr>
        <w:pStyle w:val="normalfirst"/>
        <w:ind w:firstLine="720"/>
        <w:rPr/>
      </w:pPr>
      <w:r>
        <w:rPr/>
        <w:t>In several cases, the 89 and 476 type systems were able to distinguish signatures that the 83-type system merged: &lt;</w:t>
      </w:r>
      <w:r>
        <w:rPr/>
        <w:t xml:space="preserve">this is a note, delete it: </w:t>
      </w:r>
      <w:r>
        <w:rPr/>
        <w:t>ID1, 2, 3, 5, 19, A, N&gt;.</w:t>
      </w:r>
      <w:r>
        <w:rPr>
          <w:shd w:fill="FFFF00" w:val="clear"/>
        </w:rPr>
        <w:t xml:space="preserve"> &lt;</w:t>
      </w:r>
      <w:r>
        <w:rPr>
          <w:shd w:fill="FFFF00" w:val="clear"/>
        </w:rPr>
        <w:t>steve write up examples:</w:t>
      </w:r>
      <w:r>
        <w:rPr>
          <w:shd w:fill="FFFF00" w:val="clear"/>
        </w:rPr>
        <w:t xml:space="preserve"> use 3</w:t>
      </w:r>
      <w:r>
        <w:rPr>
          <w:shd w:fill="FFFF00" w:val="clear"/>
        </w:rPr>
        <w:t>a (bladder) and 3b</w:t>
      </w:r>
      <w:r>
        <w:rPr>
          <w:shd w:fill="FFFF00" w:val="clear"/>
        </w:rPr>
        <w:t xml:space="preserve"> (lung/liver well known</w:t>
      </w:r>
      <w:r>
        <w:rPr>
          <w:shd w:fill="FFFF00" w:val="clear"/>
        </w:rPr>
        <w:t xml:space="preserve">; </w:t>
      </w:r>
      <w:r>
        <w:rPr>
          <w:shd w:fill="FFFF00" w:val="clear"/>
        </w:rPr>
        <w:t>bladder new finding) 19</w:t>
      </w:r>
      <w:r>
        <w:rPr>
          <w:shd w:fill="FFFF00" w:val="clear"/>
        </w:rPr>
        <w:t>a 19b</w:t>
      </w:r>
      <w:r>
        <w:rPr>
          <w:shd w:fill="FFFF00" w:val="clear"/>
        </w:rPr>
        <w:t>, A</w:t>
      </w:r>
      <w:r>
        <w:rPr>
          <w:shd w:fill="FFFF00" w:val="clear"/>
        </w:rPr>
        <w:t>_alpha,A_beta</w:t>
      </w:r>
      <w:r>
        <w:rPr>
          <w:shd w:fill="FFFF00" w:val="clear"/>
        </w:rPr>
        <w:t>&gt; This is a primary component of the advantages of the two new type systems. In many cases the differences between the signatures in the 89 and 476</w:t>
      </w:r>
    </w:p>
    <w:p>
      <w:pPr>
        <w:pStyle w:val="normalfirst"/>
        <w:ind w:firstLine="720"/>
        <w:rPr/>
      </w:pPr>
      <w:r>
        <w:rP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w:t>
      </w:r>
      <w:r>
        <w:rPr>
          <w:shd w:fill="FFFF00" w:val="clear"/>
        </w:rPr>
        <w:t>&lt;</w:t>
      </w:r>
      <w:r>
        <w:rPr>
          <w:shd w:fill="FFFF00" w:val="clear"/>
        </w:rPr>
        <w:t>time permitting – do sup fig&gt;.</w:t>
      </w:r>
    </w:p>
    <w:p>
      <w:pPr>
        <w:pStyle w:val="normalfirst"/>
        <w:bidi w:val="0"/>
        <w:ind w:firstLine="720"/>
        <w:rPr/>
      </w:pPr>
      <w:r>
        <w:rPr/>
        <w:t xml:space="preserve">The pair InsDel11 and InsDel16 is also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 </w:t>
      </w:r>
      <w:r>
        <w:rPr>
          <w:shd w:fill="FFFF00" w:val="clear"/>
        </w:rPr>
        <w:t>&lt;</w:t>
      </w:r>
      <w:r>
        <w:rPr>
          <w:shd w:fill="FFFF00" w:val="clear"/>
        </w:rPr>
        <w:t>time permitting – do sup fig&gt;.</w:t>
      </w:r>
    </w:p>
    <w:p>
      <w:pPr>
        <w:pStyle w:val="normalfirst"/>
        <w:rPr>
          <w:b/>
          <w:bCs/>
          <w:i/>
          <w:iCs/>
        </w:rPr>
      </w:pPr>
      <w:r>
        <w:rPr>
          <w:b/>
          <w:bCs/>
          <w:i/>
          <w:iCs/>
        </w:rPr>
        <w:t>Signature assignments</w:t>
      </w:r>
    </w:p>
    <w:p>
      <w:pPr>
        <w:pStyle w:val="normalfirst"/>
        <w:rPr>
          <w:b/>
          <w:bCs/>
          <w:i/>
          <w:iCs/>
        </w:rPr>
      </w:pPr>
      <w:r>
        <w:rPr>
          <w:b/>
          <w:bCs/>
          <w:i/>
          <w:iCs/>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shd w:fill="FFFF00" w:val="clear"/>
        </w:rPr>
        <w:t>&lt;edit&gt; &lt;</w:t>
      </w:r>
      <w:r>
        <w:rPr>
          <w:shd w:fill="FFFF00" w:val="clear"/>
        </w:rPr>
        <w:t>forget about 89, just contrast 476 to 8</w:t>
      </w:r>
      <w:r>
        <w:rPr/>
        <w:t>9&gt; One example of benefits of the new classification schemes is that it reveals that the</w:t>
      </w:r>
      <w:r>
        <w:rPr/>
        <w:t xml:space="preserve">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first"/>
        <w:rPr>
          <w:b/>
          <w:bCs/>
          <w:i/>
          <w:iCs/>
        </w:rPr>
      </w:pPr>
      <w:r>
        <w:rPr>
          <w:b/>
          <w:bCs/>
          <w:i/>
          <w:iCs/>
        </w:rPr>
        <w:t>InsDel17  vs InsDel8</w:t>
      </w:r>
    </w:p>
    <w:p>
      <w:pPr>
        <w:pStyle w:val="normalfirst"/>
        <w:rPr>
          <w:b/>
          <w:bCs/>
          <w:i/>
          <w:iCs/>
        </w:rPr>
      </w:pPr>
      <w:r>
        <w:rPr>
          <w:b/>
          <w:bCs/>
          <w:i/>
          <w:iCs/>
        </w:rPr>
        <w:t xml:space="preserve">A_beta looks like apobec in </w:t>
      </w:r>
      <w:r>
        <w:rPr>
          <w:b/>
          <w:bCs/>
          <w:i/>
          <w:iCs/>
        </w:rPr>
        <w:t xml:space="preserve">(already known) / a alpha not correlated  </w:t>
      </w:r>
      <w:r>
        <w:rPr>
          <w:b/>
          <w:bCs/>
          <w:i/>
          <w:iCs/>
        </w:rPr>
        <w:t>A beta is TCA → TA and TCT → TT, SBS2 TCA →  TTA, TCT → TTT SBS13 is TCA → TGA, TCT -&gt;TGT</w:t>
      </w:r>
      <w:r>
        <w:rPr>
          <w:b/>
          <w:bCs/>
          <w:i/>
          <w:iCs/>
        </w:rPr>
        <w:t xml:space="preserve"> </w:t>
      </w:r>
      <w:hyperlink r:id="rId6">
        <w:r>
          <w:rPr>
            <w:rStyle w:val="Hyperlink"/>
            <w:b/>
            <w:bCs/>
            <w:i/>
            <w:iCs/>
          </w:rPr>
          <w:t>https://www.sciencedirect.com/science/article/pii/S2211124722002996</w:t>
        </w:r>
      </w:hyperlink>
    </w:p>
    <w:p>
      <w:pPr>
        <w:pStyle w:val="normalfirst"/>
        <w:rPr>
          <w:b/>
          <w:bCs/>
          <w:i/>
          <w:iCs/>
        </w:rPr>
      </w:pPr>
      <w:r>
        <w:rPr>
          <w:b/>
          <w:bCs/>
          <w:i/>
          <w:iCs/>
        </w:rPr>
        <w:t>K</w:t>
      </w:r>
      <w:r>
        <w:rPr>
          <w:b/>
          <w:bCs/>
          <w:i/>
          <w:iCs/>
        </w:rPr>
        <w:t>oh already cite</w:t>
      </w:r>
      <w:r>
        <w:rPr>
          <w:b/>
          <w:bCs/>
          <w:i/>
          <w:iCs/>
        </w:rPr>
        <w:t>d</w:t>
      </w:r>
      <w:r>
        <w:rPr>
          <w:b/>
          <w:bCs/>
          <w:i/>
          <w:iCs/>
        </w:rPr>
        <w:t xml:space="preserve"> the paper above; </w:t>
      </w:r>
      <w:r>
        <w:rPr>
          <w:b/>
          <w:bCs/>
          <w:i/>
          <w:iCs/>
        </w:rPr>
        <w:t>did the paper look at the context -- NO</w:t>
      </w:r>
    </w:p>
    <w:p>
      <w:pPr>
        <w:pStyle w:val="normalfirst"/>
        <w:rPr>
          <w:b/>
          <w:bCs/>
          <w:i/>
          <w:iCs/>
        </w:rPr>
      </w:pPr>
      <w:r>
        <w:rPr>
          <w:b/>
          <w:bCs/>
          <w:i/>
          <w:iCs/>
        </w:rPr>
        <w:t xml:space="preserve">UV: </w:t>
      </w:r>
      <w:hyperlink r:id="rId7">
        <w:r>
          <w:rPr>
            <w:rStyle w:val="Hyperlink"/>
            <w:b/>
            <w:bCs/>
            <w:i/>
            <w:iCs/>
          </w:rPr>
          <w:t>https://share.google/aimode/iNBDfopq5IisBu9TY</w:t>
        </w:r>
      </w:hyperlink>
    </w:p>
    <w:p>
      <w:pPr>
        <w:pStyle w:val="normalfirst"/>
        <w:rPr>
          <w:b/>
          <w:bCs/>
          <w:i/>
          <w:iCs/>
        </w:rPr>
      </w:pPr>
      <w:r>
        <w:rPr>
          <w:b/>
          <w:bCs/>
          <w:i/>
          <w:iCs/>
        </w:rPr>
        <w:t>Sig H – 476 doesn’t really capture it</w:t>
      </w:r>
    </w:p>
    <w:p>
      <w:pPr>
        <w:pStyle w:val="normalfirst"/>
        <w:rPr>
          <w:b/>
          <w:bCs/>
          <w:i/>
          <w:iCs/>
        </w:rPr>
      </w:pPr>
      <w:r>
        <w:rPr>
          <w:b/>
          <w:bCs/>
          <w:i/>
          <w:iCs/>
        </w:rPr>
        <w:t>N_beta is the new ID2</w:t>
      </w:r>
    </w:p>
    <w:p>
      <w:pPr>
        <w:pStyle w:val="Heading2"/>
        <w:rPr/>
      </w:pPr>
      <w:r>
        <w:rPr/>
        <w:t>Signature activity</w:t>
      </w:r>
    </w:p>
    <w:p>
      <w:pPr>
        <w:pStyle w:val="Normal"/>
        <w:rPr>
          <w:rFonts w:eastAsia="宋体"/>
        </w:rPr>
      </w:pPr>
      <w:r>
        <w:rPr>
          <w:rFonts w:eastAsia="宋体"/>
        </w:rPr>
        <w:t>We assessed sig activity / maybe ack limitiations and site our paper</w:t>
      </w:r>
    </w:p>
    <w:p>
      <w:pPr>
        <w:pStyle w:val="Normal"/>
        <w:rPr>
          <w:rFonts w:eastAsia="宋体"/>
        </w:rPr>
      </w:pPr>
      <w:r>
        <w:rPr>
          <w:rFonts w:eastAsia="宋体"/>
        </w:rPr>
        <w:t xml:space="preserve">New sigs </w:t>
      </w:r>
      <w:r>
        <w:rPr>
          <w:rFonts w:eastAsia="宋体"/>
        </w:rPr>
        <w:t>are rarer.</w:t>
      </w:r>
    </w:p>
    <w:p>
      <w:pPr>
        <w:pStyle w:val="Normal"/>
        <w:rPr>
          <w:rFonts w:eastAsia="宋体"/>
        </w:rPr>
      </w:pPr>
      <w:r>
        <w:rPr>
          <w:rFonts w:eastAsia="宋体"/>
        </w:rPr>
        <w:t>Few surprises beyond splitting, except 2</w:t>
      </w:r>
    </w:p>
    <w:p>
      <w:pPr>
        <w:pStyle w:val="Normal"/>
        <w:rPr>
          <w:rFonts w:eastAsia="宋体"/>
        </w:rPr>
      </w:pPr>
      <w:r>
        <w:rPr>
          <w:rFonts w:eastAsia="宋体"/>
        </w:rPr>
        <w:t>H stands is new / doesn’t show in the plot; what is the statistical test for outliers in proportions?</w:t>
      </w:r>
    </w:p>
    <w:p>
      <w:pPr>
        <w:pStyle w:val="Normal"/>
        <w:rPr/>
      </w:pPr>
      <w:r>
        <w:rPr/>
        <w:t xml:space="preserve"> </w:t>
      </w:r>
      <w:r>
        <w:rPr/>
        <w:t xml:space="preserve">(Figure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r>
        <w:rPr/>
        <w:softHyphen/>
      </w:r>
      <w:r>
        <w:rPr>
          <w:shd w:fill="FFFF00" w:val="clear"/>
        </w:rPr>
        <w:t>&lt;</w:t>
      </w:r>
      <w:r>
        <w:rPr>
          <w:shd w:fill="FFFF00" w:val="clear"/>
        </w:rPr>
        <w:t>Maybe say B is clock-like&gt;</w:t>
      </w:r>
    </w:p>
    <w:p>
      <w:pPr>
        <w:pStyle w:val="Normal"/>
        <w:rPr/>
      </w:pPr>
      <w:commentRangeStart w:id="0"/>
      <w:r>
        <w:rPr>
          <w:shd w:fill="FFFF00" w:val="clear"/>
        </w:rPr>
        <w:t>&lt;need to show this&gt; 8</w:t>
      </w:r>
      <w:r>
        <w:rPr/>
        <w:t xml:space="preserve">9-type signature assignments revealed strong concordance with the 83-type signatures when a one-to-one mapping was present. </w:t>
      </w:r>
      <w:r>
        <w:rPr/>
      </w:r>
      <w:commentRangeEnd w:id="0"/>
      <w:r>
        <w:commentReference w:id="0"/>
      </w:r>
      <w:r>
        <w:rPr/>
        <w:t xml:space="preserve">When an 83-type signature was represented by multiple 89-type signatures (e.g., C_ID1 was captured by InsDel1a, InsDel1b, InsDel1c, and InsDel1d), </w:t>
      </w:r>
      <w:r>
        <w:rPr>
          <w:shd w:fill="FFFF00" w:val="clear"/>
        </w:rPr>
        <w:t xml:space="preserve">&lt;this needs to be updated&gt; </w:t>
      </w:r>
      <w:r>
        <w:rPr/>
        <w:t>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 xml:space="preserve">&lt;We need to show this&gt; </w:t>
      </w:r>
      <w:r>
        <w:rPr/>
        <w:t xml:space="preserve">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1"/>
      <w:r>
        <w:rPr/>
        <w:t xml:space="preserve"> C_ID14 (</w:t>
      </w:r>
      <w:r>
        <w:rPr>
          <w:rFonts w:hint="eastAsia"/>
        </w:rPr>
        <w:t>SBS93 correlated, likely due to smoking exposure</w:t>
      </w:r>
      <w:r>
        <w:rPr/>
        <w:t>)</w:t>
      </w:r>
      <w:r>
        <w:rPr/>
      </w:r>
      <w:commentRangeEnd w:id="1"/>
      <w:r>
        <w:commentReference w:id="1"/>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9">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0">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2"/>
      <w:r>
        <w:rPr>
          <w:rFonts w:eastAsia="宋体"/>
        </w:rPr>
        <w:t xml:space="preserve">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≥90%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2"/>
      <w:r>
        <w:commentReference w:id="2"/>
      </w:r>
      <w:r>
        <w:rPr>
          <w:rFonts w:eastAsia="宋体" w:hint="eastAsia"/>
        </w:rPr>
        <w:t>.</w:t>
      </w:r>
    </w:p>
    <w:p>
      <w:pPr>
        <w:pStyle w:val="normalfirst"/>
        <w:ind w:firstLineChars="200"/>
        <w:rPr/>
      </w:pPr>
      <w:commentRangeStart w:id="3"/>
      <w:r>
        <w:rPr>
          <w:rFonts w:eastAsia="宋体" w:hint="eastAsia"/>
          <w:shd w:fill="FFFF00" w:val="clear"/>
        </w:rPr>
        <w:t xml:space="preserve">&lt;MO CHECK THIS PARA&gt; </w:t>
      </w: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3"/>
      <w:r>
        <w:commentReference w:id="3"/>
      </w:r>
      <w:r>
        <w:rPr/>
      </w:r>
    </w:p>
    <w:p>
      <w:pPr>
        <w:pStyle w:val="normalfirst"/>
        <w:ind w:firstLineChars="200"/>
        <w:rPr/>
      </w:pPr>
      <w:commentRangeStart w:id="4"/>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4"/>
      <w:r>
        <w:commentReference w:id="4"/>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shd w:fill="FF4000" w:val="clear"/>
        </w:rPr>
        <w:t>(Grant No. ),</w:t>
      </w:r>
      <w:r>
        <w:rPr>
          <w:rFonts w:eastAsia="宋体"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3-24T10:49:00Z" w:initials="ML">
    <w:p>
      <w:pPr>
        <w:overflowPunct w:val="false"/>
        <w:spacing w:lineRule="auto" w:line="240" w:before="0" w:after="0"/>
        <w:rPr/>
      </w:pPr>
      <w:r>
        <w:annotationRef/>
      </w:r>
      <w:r>
        <w:rPr>
          <w:rFonts w:eastAsia="宋体" w:cs="Noto Sans Arabic UI" w:ascii="Liberation Serif" w:hAnsi="Liberation Serif"/>
          <w:sz w:val="22"/>
          <w:szCs w:val="22"/>
          <w:lang w:eastAsia="en-US" w:bidi="en-US"/>
        </w:rPr>
        <w:t>The 172 approach theoretically would have strong concordance. Do we need to show this?</w:t>
      </w:r>
    </w:p>
  </w:comment>
  <w:comment w:id="1" w:author="Mo Liu" w:date="2026-04-03T21:55:00Z" w:initials="ML">
    <w:p>
      <w:pPr>
        <w:overflowPunct w:val="fals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 w:id="2" w:author="Mo Liu" w:date="2026-04-07T16:26:00Z" w:initials="ML">
    <w:p>
      <w:pPr>
        <w:overflowPunct w:val="true"/>
        <w:spacing w:lineRule="auto" w:line="240" w:before="0" w:after="0"/>
        <w:rPr/>
      </w:pPr>
      <w:r>
        <w:annotationRef/>
      </w:r>
      <w:r>
        <w:rPr>
          <w:rFonts w:eastAsia="宋体" w:cs="Noto Sans Arabic UI" w:ascii="Calibri" w:hAnsi="Calibri"/>
          <w:sz w:val="22"/>
          <w:szCs w:val="22"/>
        </w:rPr>
        <w:t>Mo edit</w:t>
      </w:r>
    </w:p>
  </w:comment>
  <w:comment w:id="3" w:author="Mo Liu" w:date="2026-04-07T16:19:00Z" w:initials="ML">
    <w:p>
      <w:pPr>
        <w:overflowPunct w:val="true"/>
        <w:spacing w:lineRule="auto" w:line="240" w:before="0" w:after="0"/>
        <w:rPr/>
      </w:pPr>
      <w:r>
        <w:annotationRef/>
      </w:r>
      <w:r>
        <w:rPr>
          <w:rFonts w:eastAsia="宋体" w:cs="Noto Sans Arabic UI" w:ascii="Calibri" w:hAnsi="Calibri"/>
          <w:sz w:val="22"/>
          <w:szCs w:val="22"/>
        </w:rPr>
        <w:t xml:space="preserve">We can remove this now. </w:t>
      </w:r>
    </w:p>
  </w:comment>
  <w:comment w:id="4" w:author="Mo Liu" w:date="2026-04-07T16:27:00Z" w:initials="ML">
    <w:p>
      <w:pPr>
        <w:overflowPunct w:val="true"/>
        <w:spacing w:lineRule="auto" w:line="240" w:before="0" w:after="0"/>
        <w:rPr/>
      </w:pPr>
      <w:r>
        <w:annotationRef/>
      </w:r>
      <w:r>
        <w:rPr>
          <w:rFonts w:eastAsia="宋体" w:cs="Noto Sans Arabic UI" w:ascii="Calibri" w:hAnsi="Calibri"/>
          <w:sz w:val="22"/>
          <w:szCs w:val="22"/>
        </w:rPr>
        <w:t>I’m not sure if I wrote this. It can be removed, if this is for the signature assignment analysis.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hare.google/aimode/QKRo26NUhoR9S8WBd" TargetMode="External"/><Relationship Id="rId4" Type="http://schemas.openxmlformats.org/officeDocument/2006/relationships/hyperlink" Target="https://share.google/aimode/WwQBtrZhnQtX3IRmf" TargetMode="External"/><Relationship Id="rId5" Type="http://schemas.openxmlformats.org/officeDocument/2006/relationships/hyperlink" Target="https://signal.mutationalsignatures.com/explore/main/cancer/signatures?mutationType=3&amp;study=7" TargetMode="External"/><Relationship Id="rId6" Type="http://schemas.openxmlformats.org/officeDocument/2006/relationships/hyperlink" Target="https://www.sciencedirect.com/science/article/pii/S2211124722002996" TargetMode="External"/><Relationship Id="rId7" Type="http://schemas.openxmlformats.org/officeDocument/2006/relationships/hyperlink" Target="https://share.google/aimode/iNBDfopq5IisBu9TY"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cosmic/census?tier=1"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1470</TotalTime>
  <Application>LibreOffice/26.2.2.2$Linux_X86_64 LibreOffice_project/620$Build-2</Application>
  <AppVersion>15.0000</AppVersion>
  <Pages>30</Pages>
  <Words>6874</Words>
  <Characters>41797</Characters>
  <CharactersWithSpaces>48546</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2026-04-07T08:27:00Z</dcterms:created>
  <dc:creator>Mo Liu</dc:creator>
  <dc:description/>
  <dc:language>en-US</dc:language>
  <cp:lastModifiedBy/>
  <cp:lastPrinted>2025-06-06T09:23:00Z</cp:lastPrinted>
  <dcterms:modified xsi:type="dcterms:W3CDTF">2026-04-09T20:41:38Z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