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 w:val="on"/>
        <w:spacing w:before="0" w:after="80"/>
        <w:jc w:val="center"/>
      </w:pPr>
      <w:r>
        <w:rPr>
          <w:rFonts w:ascii="宋体" w:hAnsi="宋体" w:cs="宋体" w:eastAsia="宋体"/>
          <w:sz w:val="44"/>
          <w:b w:val="on"/>
          <w:color w:val="000000"/>
        </w:rPr>
        <w:t>住院病历</w:t>
      </w:r>
    </w:p>
    <w:p>
      <w:pPr>
        <w:keepNext w:val="on"/>
        <w:spacing w:before="0" w:after="320"/>
        <w:jc w:val="center"/>
      </w:pPr>
      <w:r>
        <w:rPr>
          <w:rFonts w:ascii="宋体" w:hAnsi="宋体" w:cs="宋体" w:eastAsia="宋体"/>
          <w:sz w:val="22"/>
          <w:b w:val="off"/>
          <w:color w:val="666666"/>
        </w:rPr>
        <w:t>医疗病历生成与分析系统 · 课程项目</w:t>
      </w:r>
    </w:p>
    <w:tbl>
      <w:tblPr>
        <w:tblW w:w="9360" w:type="dxa"/>
        <w:jc w:val="start"/>
        <w:tblInd w:type="dxa" w:w="120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00"/>
        <w:gridCol w:w="3480"/>
        <w:gridCol w:w="1200"/>
        <w:gridCol w:w="3480"/>
      </w:tblGrid>
      <w:tr>
        <w:tc>
          <w:tcPr>
            <w:tcW w:w="1200" w:type="dxa"/>
            <w:shd w:fill="F2F4F7"/>
            <w:vAlign w:val="center"/>
          </w:tcPr>
          <w:p>
            <w:pPr>
              <w:spacing w:before="0" w:after="0" w:line="264" w:lineRule="auto"/>
              <w:textAlignment w:val="center"/>
            </w:pPr>
            <w:r>
              <w:rPr>
                <w:rFonts w:ascii="宋体" w:hAnsi="宋体" w:cs="宋体" w:eastAsia="宋体"/>
                <w:sz w:val="20"/>
                <w:b w:val="on"/>
                <w:color w:val="1F4D78"/>
              </w:rPr>
              <w:t>姓名</w:t>
            </w:r>
          </w:p>
        </w:tc>
        <w:tc>
          <w:tcPr>
            <w:tcW w:w="3480" w:type="dxa"/>
            <w:vAlign w:val="center"/>
          </w:tcPr>
          <w:p>
            <w:pPr>
              <w:spacing w:before="0" w:after="0" w:line="264" w:lineRule="auto"/>
              <w:textAlignment w:val="center"/>
            </w:pPr>
            <w:r>
              <w:rPr>
                <w:rFonts w:ascii="宋体" w:hAnsi="宋体" w:cs="宋体" w:eastAsia="宋体"/>
                <w:sz w:val="20"/>
                <w:b w:val="off"/>
                <w:color w:val="000000"/>
              </w:rPr>
              <w:t>刘某</w:t>
            </w:r>
          </w:p>
        </w:tc>
        <w:tc>
          <w:tcPr>
            <w:tcW w:w="1200" w:type="dxa"/>
            <w:shd w:fill="F2F4F7"/>
            <w:vAlign w:val="center"/>
          </w:tcPr>
          <w:p>
            <w:pPr>
              <w:spacing w:before="0" w:after="0" w:line="264" w:lineRule="auto"/>
              <w:textAlignment w:val="center"/>
            </w:pPr>
            <w:r>
              <w:rPr>
                <w:rFonts w:ascii="宋体" w:hAnsi="宋体" w:cs="宋体" w:eastAsia="宋体"/>
                <w:sz w:val="20"/>
                <w:b w:val="on"/>
                <w:color w:val="1F4D78"/>
              </w:rPr>
              <w:t>性别</w:t>
            </w:r>
          </w:p>
        </w:tc>
        <w:tc>
          <w:tcPr>
            <w:tcW w:w="3480" w:type="dxa"/>
            <w:vAlign w:val="center"/>
          </w:tcPr>
          <w:p>
            <w:pPr>
              <w:spacing w:before="0" w:after="0" w:line="264" w:lineRule="auto"/>
              <w:textAlignment w:val="center"/>
            </w:pPr>
            <w:r>
              <w:rPr>
                <w:rFonts w:ascii="宋体" w:hAnsi="宋体" w:cs="宋体" w:eastAsia="宋体"/>
                <w:sz w:val="20"/>
                <w:b w:val="off"/>
                <w:color w:val="000000"/>
              </w:rPr>
              <w:t>女</w:t>
            </w:r>
          </w:p>
        </w:tc>
      </w:tr>
      <w:tr>
        <w:tc>
          <w:tcPr>
            <w:tcW w:w="1200" w:type="dxa"/>
            <w:shd w:fill="F2F4F7"/>
            <w:vAlign w:val="center"/>
          </w:tcPr>
          <w:p>
            <w:pPr>
              <w:spacing w:before="0" w:after="0" w:line="264" w:lineRule="auto"/>
              <w:textAlignment w:val="center"/>
            </w:pPr>
            <w:r>
              <w:rPr>
                <w:rFonts w:ascii="宋体" w:hAnsi="宋体" w:cs="宋体" w:eastAsia="宋体"/>
                <w:sz w:val="20"/>
                <w:b w:val="on"/>
                <w:color w:val="1F4D78"/>
              </w:rPr>
              <w:t>年龄</w:t>
            </w:r>
          </w:p>
        </w:tc>
        <w:tc>
          <w:tcPr>
            <w:tcW w:w="3480" w:type="dxa"/>
            <w:vAlign w:val="center"/>
          </w:tcPr>
          <w:p>
            <w:pPr>
              <w:spacing w:before="0" w:after="0" w:line="264" w:lineRule="auto"/>
              <w:textAlignment w:val="center"/>
            </w:pPr>
            <w:r>
              <w:rPr>
                <w:rFonts w:ascii="宋体" w:hAnsi="宋体" w:cs="宋体" w:eastAsia="宋体"/>
                <w:sz w:val="20"/>
                <w:b w:val="off"/>
                <w:color w:val="000000"/>
              </w:rPr>
              <w:t>72 岁</w:t>
            </w:r>
          </w:p>
        </w:tc>
        <w:tc>
          <w:tcPr>
            <w:tcW w:w="1200" w:type="dxa"/>
            <w:shd w:fill="F2F4F7"/>
            <w:vAlign w:val="center"/>
          </w:tcPr>
          <w:p>
            <w:pPr>
              <w:spacing w:before="0" w:after="0" w:line="264" w:lineRule="auto"/>
              <w:textAlignment w:val="center"/>
            </w:pPr>
            <w:r>
              <w:rPr>
                <w:rFonts w:ascii="宋体" w:hAnsi="宋体" w:cs="宋体" w:eastAsia="宋体"/>
                <w:sz w:val="20"/>
                <w:b w:val="on"/>
                <w:color w:val="1F4D78"/>
              </w:rPr>
              <w:t>就诊科室</w:t>
            </w:r>
          </w:p>
        </w:tc>
        <w:tc>
          <w:tcPr>
            <w:tcW w:w="3480" w:type="dxa"/>
            <w:vAlign w:val="center"/>
          </w:tcPr>
          <w:p>
            <w:pPr>
              <w:spacing w:before="0" w:after="0" w:line="264" w:lineRule="auto"/>
              <w:textAlignment w:val="center"/>
            </w:pPr>
            <w:r>
              <w:rPr>
                <w:rFonts w:ascii="宋体" w:hAnsi="宋体" w:cs="宋体" w:eastAsia="宋体"/>
                <w:sz w:val="20"/>
                <w:b w:val="off"/>
                <w:color w:val="000000"/>
              </w:rPr>
              <w:t>内科</w:t>
            </w:r>
          </w:p>
        </w:tc>
      </w:tr>
      <w:tr>
        <w:tc>
          <w:tcPr>
            <w:tcW w:w="1200" w:type="dxa"/>
            <w:shd w:fill="F2F4F7"/>
            <w:vAlign w:val="center"/>
          </w:tcPr>
          <w:p>
            <w:pPr>
              <w:spacing w:before="0" w:after="0" w:line="264" w:lineRule="auto"/>
              <w:textAlignment w:val="center"/>
            </w:pPr>
            <w:r>
              <w:rPr>
                <w:rFonts w:ascii="宋体" w:hAnsi="宋体" w:cs="宋体" w:eastAsia="宋体"/>
                <w:sz w:val="20"/>
                <w:b w:val="on"/>
                <w:color w:val="1F4D78"/>
              </w:rPr>
              <w:t>就诊日期</w:t>
            </w:r>
          </w:p>
        </w:tc>
        <w:tc>
          <w:tcPr>
            <w:tcW w:w="3480" w:type="dxa"/>
            <w:vAlign w:val="center"/>
          </w:tcPr>
          <w:p>
            <w:pPr>
              <w:spacing w:before="0" w:after="0" w:line="264" w:lineRule="auto"/>
              <w:textAlignment w:val="center"/>
            </w:pPr>
            <w:r>
              <w:rPr>
                <w:rFonts w:ascii="宋体" w:hAnsi="宋体" w:cs="宋体" w:eastAsia="宋体"/>
                <w:sz w:val="20"/>
                <w:b w:val="off"/>
                <w:color w:val="000000"/>
              </w:rPr>
              <w:t>2026-07-16</w:t>
            </w:r>
          </w:p>
        </w:tc>
        <w:tc>
          <w:tcPr>
            <w:tcW w:w="1200" w:type="dxa"/>
            <w:shd w:fill="F2F4F7"/>
            <w:vAlign w:val="center"/>
          </w:tcPr>
          <w:p>
            <w:pPr>
              <w:spacing w:before="0" w:after="0" w:line="264" w:lineRule="auto"/>
              <w:textAlignment w:val="center"/>
            </w:pPr>
            <w:r>
              <w:rPr>
                <w:rFonts w:ascii="宋体" w:hAnsi="宋体" w:cs="宋体" w:eastAsia="宋体"/>
                <w:sz w:val="20"/>
                <w:b w:val="on"/>
                <w:color w:val="1F4D78"/>
              </w:rPr>
              <w:t>生成方式</w:t>
            </w:r>
          </w:p>
        </w:tc>
        <w:tc>
          <w:tcPr>
            <w:tcW w:w="3480" w:type="dxa"/>
            <w:vAlign w:val="center"/>
          </w:tcPr>
          <w:p>
            <w:pPr>
              <w:spacing w:before="0" w:after="0" w:line="264" w:lineRule="auto"/>
              <w:textAlignment w:val="center"/>
            </w:pPr>
            <w:r>
              <w:rPr>
                <w:rFonts w:ascii="宋体" w:hAnsi="宋体" w:cs="宋体" w:eastAsia="宋体"/>
                <w:sz w:val="20"/>
                <w:b w:val="off"/>
                <w:color w:val="000000"/>
              </w:rPr>
              <w:t>Transformer 生成</w:t>
            </w:r>
          </w:p>
        </w:tc>
      </w:tr>
    </w:tbl>
    <w:p>
      <w:pPr>
        <w:spacing w:after="0"/>
      </w:pPr>
    </w:p>
    <w:p>
      <w:pPr>
        <w:keepNext w:val="on"/>
        <w:spacing w:before="320" w:after="160" w:line="264" w:lineRule="auto"/>
      </w:pPr>
      <w:r>
        <w:rPr>
          <w:rFonts w:ascii="宋体" w:hAnsi="宋体" w:cs="宋体" w:eastAsia="宋体"/>
          <w:sz w:val="32"/>
          <w:b w:val="on"/>
          <w:color w:val="2E74B5"/>
        </w:rPr>
        <w:t>病历正文</w:t>
      </w:r>
    </w:p>
    <w:p>
      <w:pPr>
        <w:spacing w:before="0" w:after="40"/>
      </w:pPr>
    </w:p>
    <w:p>
      <w:pPr>
        <w:keepNext w:val="on"/>
        <w:spacing w:before="240" w:after="120" w:line="264" w:lineRule="auto"/>
      </w:pPr>
      <w:r>
        <w:rPr>
          <w:rFonts w:ascii="宋体" w:hAnsi="宋体" w:cs="宋体" w:eastAsia="宋体"/>
          <w:sz w:val="26"/>
          <w:b w:val="on"/>
          <w:color w:val="2E74B5"/>
        </w:rPr>
        <w:t>二、主诉</w:t>
      </w:r>
    </w:p>
    <w:p>
      <w:pPr>
        <w:spacing w:before="0" w:after="120" w:line="264" w:lineRule="auto"/>
        <w:jc w:val="left"/>
      </w:pPr>
      <w:r>
        <w:rPr>
          <w:rFonts w:ascii="宋体" w:hAnsi="宋体" w:cs="宋体" w:eastAsia="宋体"/>
          <w:sz w:val="22"/>
          <w:b w:val="off"/>
          <w:color w:val="000000"/>
        </w:rPr>
        <w:t>慢性咳嗽15年，双下肢水肿半年，加重1周。</w:t>
      </w:r>
    </w:p>
    <w:p>
      <w:pPr>
        <w:spacing w:before="0" w:after="40"/>
      </w:pPr>
    </w:p>
    <w:p>
      <w:pPr>
        <w:keepNext w:val="on"/>
        <w:spacing w:before="240" w:after="120" w:line="264" w:lineRule="auto"/>
      </w:pPr>
      <w:r>
        <w:rPr>
          <w:rFonts w:ascii="宋体" w:hAnsi="宋体" w:cs="宋体" w:eastAsia="宋体"/>
          <w:sz w:val="26"/>
          <w:b w:val="on"/>
          <w:color w:val="2E74B5"/>
        </w:rPr>
        <w:t>三、现病史</w:t>
      </w:r>
    </w:p>
    <w:p>
      <w:pPr>
        <w:spacing w:before="0" w:after="120" w:line="264" w:lineRule="auto"/>
        <w:jc w:val="left"/>
      </w:pPr>
      <w:r>
        <w:rPr>
          <w:rFonts w:ascii="宋体" w:hAnsi="宋体" w:cs="宋体" w:eastAsia="宋体"/>
          <w:sz w:val="22"/>
          <w:b w:val="off"/>
          <w:color w:val="000000"/>
        </w:rPr>
        <w:t>患者慢性咳嗽15年，活动后气急10余年。1周前感冒后咳嗽、气急加重，咯黄痰，双下肢再度水肿。</w:t>
      </w:r>
    </w:p>
    <w:p>
      <w:pPr>
        <w:spacing w:before="0" w:after="40"/>
      </w:pPr>
    </w:p>
    <w:p>
      <w:pPr>
        <w:keepNext w:val="on"/>
        <w:spacing w:before="240" w:after="120" w:line="264" w:lineRule="auto"/>
      </w:pPr>
      <w:r>
        <w:rPr>
          <w:rFonts w:ascii="宋体" w:hAnsi="宋体" w:cs="宋体" w:eastAsia="宋体"/>
          <w:sz w:val="26"/>
          <w:b w:val="on"/>
          <w:color w:val="2E74B5"/>
        </w:rPr>
        <w:t>四、既往史</w:t>
      </w:r>
    </w:p>
    <w:p>
      <w:pPr>
        <w:spacing w:before="0" w:after="120" w:line="264" w:lineRule="auto"/>
        <w:jc w:val="left"/>
      </w:pPr>
      <w:r>
        <w:rPr>
          <w:rFonts w:ascii="宋体" w:hAnsi="宋体" w:cs="宋体" w:eastAsia="宋体"/>
          <w:sz w:val="22"/>
          <w:b w:val="off"/>
          <w:color w:val="000000"/>
        </w:rPr>
        <w:t>35年前行阑尾切除术；40年前有肺结核史并接受抗结核治疗。</w:t>
      </w:r>
    </w:p>
    <w:p>
      <w:pPr>
        <w:spacing w:before="0" w:after="40"/>
      </w:pPr>
    </w:p>
    <w:p>
      <w:pPr>
        <w:keepNext w:val="on"/>
        <w:spacing w:before="240" w:after="120" w:line="264" w:lineRule="auto"/>
      </w:pPr>
      <w:r>
        <w:rPr>
          <w:rFonts w:ascii="宋体" w:hAnsi="宋体" w:cs="宋体" w:eastAsia="宋体"/>
          <w:sz w:val="26"/>
          <w:b w:val="on"/>
          <w:color w:val="2E74B5"/>
        </w:rPr>
        <w:t>五、过敏史</w:t>
      </w:r>
    </w:p>
    <w:p>
      <w:pPr>
        <w:spacing w:before="0" w:after="120" w:line="264" w:lineRule="auto"/>
        <w:jc w:val="left"/>
      </w:pPr>
      <w:r>
        <w:rPr>
          <w:rFonts w:ascii="宋体" w:hAnsi="宋体" w:cs="宋体" w:eastAsia="宋体"/>
          <w:sz w:val="22"/>
          <w:b w:val="off"/>
          <w:color w:val="000000"/>
        </w:rPr>
        <w:t>否认药物过敏史。</w:t>
      </w:r>
    </w:p>
    <w:p>
      <w:pPr>
        <w:spacing w:before="0" w:after="40"/>
      </w:pPr>
    </w:p>
    <w:p>
      <w:pPr>
        <w:keepNext w:val="on"/>
        <w:spacing w:before="240" w:after="120" w:line="264" w:lineRule="auto"/>
      </w:pPr>
      <w:r>
        <w:rPr>
          <w:rFonts w:ascii="宋体" w:hAnsi="宋体" w:cs="宋体" w:eastAsia="宋体"/>
          <w:sz w:val="26"/>
          <w:b w:val="on"/>
          <w:color w:val="2E74B5"/>
        </w:rPr>
        <w:t>六、生命体征与体格检查</w:t>
      </w:r>
    </w:p>
    <w:p>
      <w:pPr>
        <w:spacing w:before="0" w:after="120" w:line="264" w:lineRule="auto"/>
        <w:jc w:val="left"/>
      </w:pPr>
      <w:r>
        <w:rPr>
          <w:rFonts w:ascii="宋体" w:hAnsi="宋体" w:cs="宋体" w:eastAsia="宋体"/>
          <w:sz w:val="22"/>
          <w:b w:val="off"/>
          <w:color w:val="000000"/>
        </w:rPr>
        <w:t>生命体征：T 36.5℃，P 98次/分，R 28次/分，BP 130/70mmHg。</w:t>
      </w:r>
    </w:p>
    <w:p>
      <w:pPr>
        <w:spacing w:before="0" w:after="120" w:line="264" w:lineRule="auto"/>
        <w:jc w:val="left"/>
      </w:pPr>
      <w:r>
        <w:rPr>
          <w:rFonts w:ascii="宋体" w:hAnsi="宋体" w:cs="宋体" w:eastAsia="宋体"/>
          <w:sz w:val="22"/>
          <w:b w:val="off"/>
          <w:color w:val="000000"/>
        </w:rPr>
        <w:t>体格检查：口唇轻度发绀，颈静脉怒张，桶状胸；两肺呼吸音低，右下肺细湿啰音；双下肢Ⅰ度凹陷性水肿。</w:t>
      </w:r>
    </w:p>
    <w:p>
      <w:pPr>
        <w:spacing w:before="0" w:after="40"/>
      </w:pPr>
    </w:p>
    <w:p>
      <w:pPr>
        <w:keepNext w:val="on"/>
        <w:spacing w:before="240" w:after="120" w:line="264" w:lineRule="auto"/>
      </w:pPr>
      <w:r>
        <w:rPr>
          <w:rFonts w:ascii="宋体" w:hAnsi="宋体" w:cs="宋体" w:eastAsia="宋体"/>
          <w:sz w:val="26"/>
          <w:b w:val="on"/>
          <w:color w:val="2E74B5"/>
        </w:rPr>
        <w:t>七、辅助检查</w:t>
      </w:r>
    </w:p>
    <w:p>
      <w:pPr>
        <w:spacing w:before="0" w:after="120" w:line="264" w:lineRule="auto"/>
        <w:jc w:val="left"/>
      </w:pPr>
      <w:r>
        <w:rPr>
          <w:rFonts w:ascii="宋体" w:hAnsi="宋体" w:cs="宋体" w:eastAsia="宋体"/>
          <w:sz w:val="22"/>
          <w:b w:val="off"/>
          <w:color w:val="000000"/>
        </w:rPr>
        <w:t>白细胞8.9×10^9/L；胸片示两肺透亮度增加、肺纹理紊乱；心电图示持续心房颤动。</w:t>
      </w:r>
    </w:p>
    <w:p>
      <w:pPr>
        <w:spacing w:before="0" w:after="40"/>
      </w:pPr>
    </w:p>
    <w:p>
      <w:pPr>
        <w:keepNext w:val="on"/>
        <w:spacing w:before="240" w:after="120" w:line="264" w:lineRule="auto"/>
      </w:pPr>
      <w:r>
        <w:rPr>
          <w:rFonts w:ascii="宋体" w:hAnsi="宋体" w:cs="宋体" w:eastAsia="宋体"/>
          <w:sz w:val="26"/>
          <w:b w:val="on"/>
          <w:color w:val="2E74B5"/>
        </w:rPr>
        <w:t>八、初步诊断（医生输入）</w:t>
      </w:r>
    </w:p>
    <w:p>
      <w:pPr>
        <w:spacing w:before="0" w:after="120" w:line="264" w:lineRule="auto"/>
        <w:jc w:val="left"/>
      </w:pPr>
      <w:r>
        <w:rPr>
          <w:rFonts w:ascii="宋体" w:hAnsi="宋体" w:cs="宋体" w:eastAsia="宋体"/>
          <w:sz w:val="22"/>
          <w:b w:val="off"/>
          <w:color w:val="000000"/>
        </w:rPr>
        <w:t>慢性支气管炎急性发作；慢性阻塞性肺气肿；慢性肺源性心脏病。</w:t>
      </w:r>
    </w:p>
    <w:p>
      <w:pPr>
        <w:spacing w:before="0" w:after="40"/>
      </w:pPr>
    </w:p>
    <w:p>
      <w:pPr>
        <w:keepNext w:val="on"/>
        <w:spacing w:before="240" w:after="120" w:line="264" w:lineRule="auto"/>
      </w:pPr>
      <w:r>
        <w:rPr>
          <w:rFonts w:ascii="宋体" w:hAnsi="宋体" w:cs="宋体" w:eastAsia="宋体"/>
          <w:sz w:val="26"/>
          <w:b w:val="on"/>
          <w:color w:val="2E74B5"/>
        </w:rPr>
        <w:t>九、既往治疗记录（患者已接受）</w:t>
      </w:r>
    </w:p>
    <w:p>
      <w:pPr>
        <w:spacing w:before="0" w:after="120" w:line="264" w:lineRule="auto"/>
        <w:jc w:val="left"/>
      </w:pPr>
      <w:r>
        <w:rPr>
          <w:rFonts w:ascii="宋体" w:hAnsi="宋体" w:cs="宋体" w:eastAsia="宋体"/>
          <w:sz w:val="22"/>
          <w:b w:val="off"/>
          <w:color w:val="000000"/>
        </w:rPr>
        <w:t>当地医院已给予抗感染及利尿治疗1周。</w:t>
      </w:r>
    </w:p>
    <w:p>
      <w:pPr>
        <w:spacing w:before="0" w:after="40"/>
      </w:pPr>
    </w:p>
    <w:p>
      <w:pPr>
        <w:keepNext w:val="on"/>
        <w:spacing w:before="240" w:after="120" w:line="264" w:lineRule="auto"/>
      </w:pPr>
      <w:r>
        <w:rPr>
          <w:rFonts w:ascii="宋体" w:hAnsi="宋体" w:cs="宋体" w:eastAsia="宋体"/>
          <w:sz w:val="26"/>
          <w:b w:val="on"/>
          <w:color w:val="2E74B5"/>
        </w:rPr>
        <w:t>十、用药记录（患者已使用）</w:t>
      </w:r>
    </w:p>
    <w:p>
      <w:pPr>
        <w:spacing w:before="0" w:after="120" w:line="264" w:lineRule="auto"/>
        <w:jc w:val="left"/>
      </w:pPr>
      <w:r>
        <w:rPr>
          <w:rFonts w:ascii="宋体" w:hAnsi="宋体" w:cs="宋体" w:eastAsia="宋体"/>
          <w:sz w:val="22"/>
          <w:b w:val="off"/>
          <w:color w:val="000000"/>
        </w:rPr>
        <w:t>阿米卡星、氢氯噻嗪（既往已使用）。</w:t>
      </w:r>
    </w:p>
    <w:p>
      <w:pPr>
        <w:spacing w:before="0" w:after="40"/>
      </w:pPr>
    </w:p>
    <w:p>
      <w:pPr>
        <w:spacing w:before="320" w:after="120"/>
      </w:pPr>
      <w:r>
        <w:rPr>
          <w:rFonts w:ascii="宋体" w:hAnsi="宋体" w:cs="宋体" w:eastAsia="宋体"/>
          <w:sz w:val="22"/>
          <w:b w:val="off"/>
          <w:color w:val="000000"/>
        </w:rPr>
        <w:t>医生签名：____________________    日期：____年__月__日</w:t>
      </w:r>
    </w:p>
    <w:p>
      <w:pPr>
        <w:keepNext w:val="on"/>
        <w:pageBreakBefore w:val="on"/>
        <w:spacing w:before="320" w:after="160" w:line="264" w:lineRule="auto"/>
      </w:pPr>
      <w:r>
        <w:rPr>
          <w:rFonts w:ascii="宋体" w:hAnsi="宋体" w:cs="宋体" w:eastAsia="宋体"/>
          <w:sz w:val="32"/>
          <w:b w:val="on"/>
          <w:color w:val="2E74B5"/>
        </w:rPr>
        <w:t>AI 辅助分析（与正式病历分离）</w:t>
      </w:r>
    </w:p>
    <w:p>
      <w:pPr>
        <w:spacing w:before="0" w:after="120" w:line="264" w:lineRule="auto"/>
        <w:jc w:val="left"/>
      </w:pPr>
      <w:r>
        <w:rPr>
          <w:rFonts w:ascii="宋体" w:hAnsi="宋体" w:cs="宋体" w:eastAsia="宋体"/>
          <w:sz w:val="22"/>
          <w:b w:val="on"/>
          <w:color w:val="1F4D78"/>
        </w:rPr>
        <w:t>病历生成方式：</w:t>
      </w:r>
      <w:r>
        <w:rPr>
          <w:rFonts w:ascii="宋体" w:hAnsi="宋体" w:cs="宋体" w:eastAsia="宋体"/>
          <w:sz w:val="22"/>
          <w:b w:val="off"/>
          <w:color w:val="000000"/>
        </w:rPr>
        <w:t>Transformer 生成</w:t>
      </w:r>
    </w:p>
    <w:p>
      <w:pPr>
        <w:spacing w:before="0" w:after="120" w:line="264" w:lineRule="auto"/>
        <w:jc w:val="left"/>
      </w:pPr>
      <w:r>
        <w:rPr>
          <w:rFonts w:ascii="宋体" w:hAnsi="宋体" w:cs="宋体" w:eastAsia="宋体"/>
          <w:sz w:val="22"/>
          <w:b w:val="on"/>
          <w:color w:val="1F4D78"/>
        </w:rPr>
        <w:t>生成模型版本：</w:t>
      </w:r>
      <w:r>
        <w:rPr>
          <w:rFonts w:ascii="宋体" w:hAnsi="宋体" w:cs="宋体" w:eastAsia="宋体"/>
          <w:sz w:val="22"/>
          <w:b w:val="off"/>
          <w:color w:val="000000"/>
        </w:rPr>
        <w:t>record-gen-t5-v1.0.0</w:t>
      </w:r>
    </w:p>
    <w:p>
      <w:pPr>
        <w:spacing w:before="0" w:after="120" w:line="264" w:lineRule="auto"/>
        <w:jc w:val="left"/>
      </w:pPr>
      <w:r>
        <w:rPr>
          <w:rFonts w:ascii="宋体" w:hAnsi="宋体" w:cs="宋体" w:eastAsia="宋体"/>
          <w:sz w:val="22"/>
          <w:b w:val="on"/>
          <w:color w:val="1F4D78"/>
        </w:rPr>
        <w:t>识别症状：</w:t>
      </w:r>
      <w:r>
        <w:rPr>
          <w:rFonts w:ascii="宋体" w:hAnsi="宋体" w:cs="宋体" w:eastAsia="宋体"/>
          <w:sz w:val="22"/>
          <w:b w:val="off"/>
          <w:color w:val="000000"/>
        </w:rPr>
        <w:t>慢性咳嗽、气急、下肢水肿</w:t>
      </w:r>
    </w:p>
    <w:p>
      <w:pPr>
        <w:spacing w:before="0" w:after="120" w:line="264" w:lineRule="auto"/>
        <w:jc w:val="left"/>
      </w:pPr>
      <w:r>
        <w:rPr>
          <w:rFonts w:ascii="宋体" w:hAnsi="宋体" w:cs="宋体" w:eastAsia="宋体"/>
          <w:sz w:val="22"/>
          <w:b w:val="on"/>
          <w:color w:val="1F4D78"/>
        </w:rPr>
        <w:t>医学术语：</w:t>
      </w:r>
      <w:r>
        <w:rPr>
          <w:rFonts w:ascii="宋体" w:hAnsi="宋体" w:cs="宋体" w:eastAsia="宋体"/>
          <w:sz w:val="22"/>
          <w:b w:val="off"/>
          <w:color w:val="000000"/>
        </w:rPr>
        <w:t>肺气肿、心房颤动</w:t>
      </w:r>
    </w:p>
    <w:p>
      <w:pPr>
        <w:spacing w:before="0" w:after="120" w:line="264" w:lineRule="auto"/>
        <w:jc w:val="left"/>
      </w:pPr>
      <w:r>
        <w:rPr>
          <w:rFonts w:ascii="宋体" w:hAnsi="宋体" w:cs="宋体" w:eastAsia="宋体"/>
          <w:sz w:val="22"/>
          <w:b w:val="on"/>
          <w:color w:val="1F4D78"/>
        </w:rPr>
        <w:t>辅助判断：</w:t>
      </w:r>
      <w:r>
        <w:rPr>
          <w:rFonts w:ascii="宋体" w:hAnsi="宋体" w:cs="宋体" w:eastAsia="宋体"/>
          <w:sz w:val="22"/>
          <w:b w:val="off"/>
          <w:color w:val="000000"/>
        </w:rPr>
        <w:t>慢性阻塞性肺疾病相关表现</w:t>
      </w:r>
    </w:p>
    <w:p>
      <w:pPr>
        <w:spacing w:before="0" w:after="120" w:line="264" w:lineRule="auto"/>
        <w:jc w:val="left"/>
      </w:pPr>
      <w:r>
        <w:rPr>
          <w:rFonts w:ascii="宋体" w:hAnsi="宋体" w:cs="宋体" w:eastAsia="宋体"/>
          <w:sz w:val="22"/>
          <w:b w:val="on"/>
          <w:color w:val="1F4D78"/>
        </w:rPr>
        <w:t>候选方向：</w:t>
      </w:r>
      <w:r>
        <w:rPr>
          <w:rFonts w:ascii="宋体" w:hAnsi="宋体" w:cs="宋体" w:eastAsia="宋体"/>
          <w:sz w:val="22"/>
          <w:b w:val="off"/>
          <w:color w:val="000000"/>
        </w:rPr>
        <w:t>慢性支气管炎急性发作、慢性肺源性心脏病</w:t>
      </w:r>
    </w:p>
    <w:p>
      <w:pPr>
        <w:spacing w:before="0" w:after="120" w:line="264" w:lineRule="auto"/>
        <w:jc w:val="left"/>
      </w:pPr>
      <w:r>
        <w:rPr>
          <w:rFonts w:ascii="宋体" w:hAnsi="宋体" w:cs="宋体" w:eastAsia="宋体"/>
          <w:sz w:val="22"/>
          <w:b w:val="on"/>
          <w:color w:val="1F4D78"/>
        </w:rPr>
        <w:t>判断依据：</w:t>
      </w:r>
      <w:r>
        <w:rPr>
          <w:rFonts w:ascii="宋体" w:hAnsi="宋体" w:cs="宋体" w:eastAsia="宋体"/>
          <w:sz w:val="22"/>
          <w:b w:val="off"/>
          <w:color w:val="000000"/>
        </w:rPr>
        <w:t>症状、体征及检查表现支持上述辅助方向，仍需执业医师结合完整资料判断。</w:t>
      </w:r>
    </w:p>
    <w:p>
      <w:pPr>
        <w:spacing w:before="0" w:after="120" w:line="264" w:lineRule="auto"/>
        <w:jc w:val="left"/>
      </w:pPr>
      <w:r>
        <w:rPr>
          <w:rFonts w:ascii="宋体" w:hAnsi="宋体" w:cs="宋体" w:eastAsia="宋体"/>
          <w:sz w:val="22"/>
          <w:b w:val="on"/>
          <w:color w:val="1F4D78"/>
        </w:rPr>
        <w:t>处理建议：</w:t>
      </w:r>
      <w:r>
        <w:rPr>
          <w:rFonts w:ascii="宋体" w:hAnsi="宋体" w:cs="宋体" w:eastAsia="宋体"/>
          <w:sz w:val="22"/>
          <w:b w:val="off"/>
          <w:color w:val="000000"/>
        </w:rPr>
        <w:t>建议由临床医生结合血气分析、肺功能及心功能检查进一步评估。</w:t>
      </w:r>
    </w:p>
    <w:p>
      <w:pPr>
        <w:keepNext w:val="on"/>
        <w:spacing w:before="240" w:after="120" w:line="264" w:lineRule="auto"/>
      </w:pPr>
      <w:r>
        <w:rPr>
          <w:rFonts w:ascii="宋体" w:hAnsi="宋体" w:cs="宋体" w:eastAsia="宋体"/>
          <w:sz w:val="26"/>
          <w:b w:val="on"/>
          <w:color w:val="1F4D78"/>
        </w:rPr>
        <w:t>课程项目使用说明</w:t>
      </w:r>
    </w:p>
    <w:p>
      <w:pPr>
        <w:spacing w:before="0" w:after="120" w:line="264" w:lineRule="auto"/>
        <w:jc w:val="left"/>
      </w:pPr>
      <w:r>
        <w:rPr>
          <w:rFonts w:ascii="宋体" w:hAnsi="宋体" w:cs="宋体" w:eastAsia="宋体"/>
          <w:sz w:val="22"/>
          <w:b w:val="off"/>
          <w:color w:val="666666"/>
        </w:rPr>
        <w:t>仅供辅助整理与课程演示，不替代执业医师判断。</w:t>
      </w:r>
    </w:p>
    <w:sectPr>
      <w:headerReference w:type="default" r:id="rId2"/>
      <w:footerReference w:type="default" r:id="rId3"/>
      <w:pgSz w:w="12240" w:h="15840"/>
      <w:pgMar w:top="1440" w:right="1440" w:bottom="1440" w:left="1440" w:header="708" w:footer="708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rFonts w:ascii="宋体" w:hAnsi="宋体" w:cs="宋体" w:eastAsia="宋体"/>
        <w:sz w:val="18"/>
        <w:b w:val="off"/>
        <w:color w:val="666666"/>
      </w:rPr>
      <w:t xml:space="preserve">第 </w:t>
    </w:r>
    <w:fldSimple w:instr="PAGE">
      <w:r>
        <w:t>1</w:t>
      </w:r>
    </w:fldSimple>
    <w:r>
      <w:rPr>
        <w:rFonts w:ascii="宋体" w:hAnsi="宋体" w:cs="宋体" w:eastAsia="宋体"/>
        <w:sz w:val="18"/>
        <w:b w:val="off"/>
        <w:color w:val="666666"/>
      </w:rPr>
      <w:t xml:space="preserve"> 页</w:t>
    </w:r>
  </w:p>
</w:ftr>
</file>

<file path=word/header1.xml><?xml version="1.0" encoding="utf-8"?>
<w:hdr xmlns:w="http://schemas.openxmlformats.org/wordprocessingml/2006/main">
  <w:p>
    <w:pPr>
      <w:spacing w:after="0"/>
      <w:jc w:val="left"/>
    </w:pPr>
    <w:r>
      <w:rPr>
        <w:rFonts w:ascii="宋体" w:hAnsi="宋体" w:cs="宋体" w:eastAsia="宋体"/>
        <w:sz w:val="18"/>
        <w:b w:val="off"/>
        <w:color w:val="666666"/>
      </w:rPr>
      <w:t>住院病历 · 医疗病历生成与分析系统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2026-07-16T16:37:54Z</dcterms:created>
  <dc:creator>医疗病历生成与分析系统</dc:creator>
  <dc:description>病例编号：preview_1；正式病历与 AI 辅助分析分栏呈现。</dc:description>
  <dc:title>住院病历</dc:title>
</cp:coreProperties>
</file>