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TCP/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eastAsia="zh-CN"/>
        </w:rPr>
        <w:t>IP详解，卷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1：协议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学习笔记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第1章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应用程序通常是一个用户进程，应用层以下三层则一般在内核中执行。（非必需，UNIX实现是这样）。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应用层和运输层为端到端协议。E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nd-to-end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网络层提供的为逐跳协议。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op-to-hop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  <w:r>
        <w:rPr>
          <w:rFonts w:hint="default" w:asciiTheme="minorEastAsia" w:hAnsiTheme="minorEastAsia" w:cstheme="minorEastAsia"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681355</wp:posOffset>
            </wp:positionV>
            <wp:extent cx="6570345" cy="2595880"/>
            <wp:effectExtent l="0" t="0" r="1905" b="13970"/>
            <wp:wrapSquare wrapText="bothSides"/>
            <wp:docPr id="1" name="图片 1" descr="图1-5 五类互联网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1-5 五类互联网地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2"/>
          <w:szCs w:val="32"/>
          <w:lang w:eastAsia="zh-CN"/>
        </w:rPr>
      </w:pPr>
      <w:r>
        <w:rPr>
          <w:rFonts w:hint="default" w:asciiTheme="minorEastAsia" w:hAnsiTheme="minorEastAsia" w:cstheme="minorEastAsia"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255905</wp:posOffset>
            </wp:positionV>
            <wp:extent cx="4086225" cy="2781300"/>
            <wp:effectExtent l="0" t="0" r="9525" b="0"/>
            <wp:wrapSquare wrapText="bothSides"/>
            <wp:docPr id="2" name="图片 2" descr="图1-6 各类IP地址的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1-6 各类IP地址的范围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92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以太网数据帧的物理特性是其长度必须在46-1500字节之间。（加上帧头14字节和帧尾CRC校验和4字节则长度范围为64-1518字节之间）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TCP和UDP使用16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bits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（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2B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ytes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）端口号（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1-65536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Ftp 21;  Telnet 23;  Tftp 69;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任何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TCP/IP实现所提供的服务都用知名的1-1023之间的端口号，这些端口号有IANA来管理。（截至1992年，知名端口号介于1-255之间，256-1023之间的端口号通常由U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nix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系统占用，以提供特定的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U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nix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服务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），1-1023也称为保留端口号，只有超级用户权限才能分配。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客户端使用临时端口号。（大多数U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nix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实现给临时端口号分配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1024-5000之间的端口号，大于5000的端口号是给其他服务器预留的）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etc/services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配置文件内包含有熟知端口号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nternet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nternet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的区别，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nternet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指用一个共同的协议簇把多个网络连接在一起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;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nternet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指的是世界范围内通过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TCP/IP互相通信的所有主机的集合。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习题：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全0和全1的网络号是非法的。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第2章 链路层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2种链路层封装格式：以太网链路封装（RFC 894）、IEEE 802封装（RFC 1042）。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以太网数据帧数据部分最小长度为46字节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,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总长度最小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60字节。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封装首部：目的地址+源地址+类型。类型中0800为IP数据报，0806为ARP，8035为RARP。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SLIP：S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erial Line IP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，用于家庭中有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RS-232串行端口和高速调制解调器。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缺陷为，串行线路2端必须知道对方IP，没有办法把本端IP通知给另一端。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环回接口（L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ookback Interface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），根据惯例127.0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.0.1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为环回地址，域名为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localhost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color w:val="C0000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30"/>
          <w:szCs w:val="30"/>
          <w:lang w:eastAsia="zh-CN"/>
        </w:rPr>
        <w:t>传给广播地址或多播地址的数据报都复制一份传给环回地址。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最大传输单元MTU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路径MTU，2台互相通信的主机网络路径中的最小MTU称为路径MTU。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第3章 IP：网际协议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IP提供不可靠、`无连接的数据报传送服务。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128905</wp:posOffset>
            </wp:positionV>
            <wp:extent cx="6322060" cy="4293235"/>
            <wp:effectExtent l="0" t="0" r="2540" b="12065"/>
            <wp:wrapSquare wrapText="bothSides"/>
            <wp:docPr id="3" name="图片 3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4位首部长度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(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32Bi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ts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的数量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：因此首部最长6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0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字节;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16位总长度字段：因此IP数据报最长可达65535字节，但是由于MTU，大多数链路</w:t>
      </w:r>
      <w:bookmarkStart w:id="0" w:name="_GoBack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层会对它进行切片。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IP路由选择：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直接相连或都在一个共享网络上，IP数据报直接送达；否则发往默认路由器，由默认路由器转发。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IP层既可以配置成路由器功能，也可以配置成主机功能。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IP层在内存中有一个路由表，当收到一份数据报并进行发送时，对该表进行搜索。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路由表包含信息：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目的IP地址，可为主机地址或者网络地址；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下一站（或下一跳）路由器的IP地址，或者有直接连接的网络IP地址；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标志，1个指示目的IP地址是网络地址还是主机地址，另1个指明下一站路由器是否为真正的一下站路由器，还是一个直接相连的接口。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为数据报的传输指定一个网络接口。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匹配主机地址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-&gt;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匹配网络地址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&gt;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转发至默认路由器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 xml:space="preserve">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子网寻址：子网划分缩短了路由器的规模，子网对于子网外部的路由器是透明的。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阅读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RFC1219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第四章 ARP：地址解析协议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ARP代理，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如果ARP请求是从一个网络的主机发往另一个网络上的主机，那么连接这两个网络的路由器就可以回答该请求，这个过程称作委托ARP或者ARP代理（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Proxy ARP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免费ARP作用：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1.确定局域网内是否有与本机IP地址相同的主机；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对网络中主机的ARP高速缓存进行更新。（可能存在本机的硬件地址更换，需要告知局域网内主机进行更新缓存）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ARP命令：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 xml:space="preserve">arp -a 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显示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ARP高速缓存中的所有内容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         -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 xml:space="preserve">d 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删除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ARP高速缓存中的某一项内容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         -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 xml:space="preserve">s 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增加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ARP高速缓存中的内容，需要主机名和以太网地址，新增的内容为永久性的，除非在命令行末尾附上关键字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temp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 xml:space="preserve">              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末尾加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pub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</w:t>
      </w:r>
      <w:r>
        <w:rPr>
          <w:rFonts w:hint="default" w:asciiTheme="minorEastAsia" w:hAnsiTheme="minorEastAsia" w:cstheme="minorEastAsia"/>
          <w:sz w:val="30"/>
          <w:szCs w:val="30"/>
          <w:lang w:eastAsia="zh-CN"/>
        </w:rPr>
        <w:t>s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选项，可设置主机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ARP代理。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第五章 RARP：逆地址解析协议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第六章 ICMP：I</w:t>
      </w:r>
      <w:r>
        <w:rPr>
          <w:rFonts w:hint="default" w:asciiTheme="minorEastAsia" w:hAnsiTheme="minorEastAsia" w:cstheme="minorEastAsia"/>
          <w:b/>
          <w:bCs/>
          <w:sz w:val="32"/>
          <w:szCs w:val="32"/>
          <w:lang w:eastAsia="zh-CN"/>
        </w:rPr>
        <w:t>nterner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eastAsia="zh-CN"/>
        </w:rPr>
        <w:t>控制报文协议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各种类型的ICMP报文如图6-3所示，不同类型由报文中的类型字段和代码字段来共同决定。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当发送一份 ICMP差错报文时，报文始终包含 IP的首部和产生ICMP差错报文的 IP数据报的前8个字节。这样，接收 I C M P差错报文的模块就会把它与某个特定的协议（根据 I P数据报首部中的协议字段来判断）和用户进程（根据包含在 I P数据报前 8个字节中的 T C P或U D P报文首部中的TCP或UDP端口号来判断）联系起来。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下面各种情况都不会导致产生 ICMP差错报文：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1) ICMP差错报文（但是， ICMP查询报文可能会产生 ICMP差错报文）。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2) 目的地址是广播地址（见图 3-9）或多播地址（ D类地址，见图1-5）的IP数据报。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3) 作为链路层广播的数据报。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4) 不是IP分片的第一片（将在 11.5节介绍分片）。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5) 源地址不是单个主机的数据报。这就是说，源地址不能为零地址、环回地址、广播地址或多播地址。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default" w:ascii="Times New Roman" w:hAnsi="Times New Roman" w:cs="Times New Roman"/>
          <w:sz w:val="30"/>
          <w:szCs w:val="30"/>
          <w:lang w:eastAsia="zh-CN"/>
        </w:rPr>
        <w:t>这些规则是为了防止过去允许 ICMP差错报文对广播分组响应所带来的广播风暴。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508B3"/>
    <w:multiLevelType w:val="singleLevel"/>
    <w:tmpl w:val="C7E508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FE7074"/>
    <w:multiLevelType w:val="singleLevel"/>
    <w:tmpl w:val="F5FE70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CCDD51"/>
    <w:rsid w:val="1DF712E7"/>
    <w:rsid w:val="1FE982D7"/>
    <w:rsid w:val="1FFF4944"/>
    <w:rsid w:val="2FBF3FA2"/>
    <w:rsid w:val="35FF50D8"/>
    <w:rsid w:val="37AFA762"/>
    <w:rsid w:val="37FA6876"/>
    <w:rsid w:val="37FBEF99"/>
    <w:rsid w:val="39FD18EC"/>
    <w:rsid w:val="3CFE2679"/>
    <w:rsid w:val="3DBF0A63"/>
    <w:rsid w:val="3DFA8283"/>
    <w:rsid w:val="3E392874"/>
    <w:rsid w:val="47FF6CEF"/>
    <w:rsid w:val="4A1947CF"/>
    <w:rsid w:val="4DDDAC83"/>
    <w:rsid w:val="4EDD20E5"/>
    <w:rsid w:val="4FDFD0FA"/>
    <w:rsid w:val="567FEEAB"/>
    <w:rsid w:val="57FFE783"/>
    <w:rsid w:val="5AE467F9"/>
    <w:rsid w:val="5BFF03AF"/>
    <w:rsid w:val="5ECE208B"/>
    <w:rsid w:val="5FE069AB"/>
    <w:rsid w:val="5FF77C46"/>
    <w:rsid w:val="69AE7D79"/>
    <w:rsid w:val="6A6E85B3"/>
    <w:rsid w:val="6ADD5BE9"/>
    <w:rsid w:val="6AF099B1"/>
    <w:rsid w:val="6BAFB242"/>
    <w:rsid w:val="6D3A063A"/>
    <w:rsid w:val="6EF71DC6"/>
    <w:rsid w:val="6F9FED63"/>
    <w:rsid w:val="73FDE7A2"/>
    <w:rsid w:val="73FEAE5A"/>
    <w:rsid w:val="74EAFCF9"/>
    <w:rsid w:val="77B779D4"/>
    <w:rsid w:val="77D62648"/>
    <w:rsid w:val="77FF5D3A"/>
    <w:rsid w:val="79FEA5D4"/>
    <w:rsid w:val="7A1FC268"/>
    <w:rsid w:val="7BEFFC7B"/>
    <w:rsid w:val="7C7BDA2F"/>
    <w:rsid w:val="7CBE678A"/>
    <w:rsid w:val="7D9A7EAF"/>
    <w:rsid w:val="7DEFC0BD"/>
    <w:rsid w:val="7E0AB305"/>
    <w:rsid w:val="7ED86498"/>
    <w:rsid w:val="7EE7EBCA"/>
    <w:rsid w:val="7EFBA673"/>
    <w:rsid w:val="7F3D3FD1"/>
    <w:rsid w:val="7FDFF688"/>
    <w:rsid w:val="7FEDAAC9"/>
    <w:rsid w:val="7FF47BF9"/>
    <w:rsid w:val="7FF547D8"/>
    <w:rsid w:val="7FF7DCB1"/>
    <w:rsid w:val="7FFB7E85"/>
    <w:rsid w:val="7FFCB4E8"/>
    <w:rsid w:val="7FFF523A"/>
    <w:rsid w:val="7FFF84A8"/>
    <w:rsid w:val="87EDEF4A"/>
    <w:rsid w:val="9EDB23EE"/>
    <w:rsid w:val="9F5D641B"/>
    <w:rsid w:val="9FE51129"/>
    <w:rsid w:val="A3EF887B"/>
    <w:rsid w:val="A7C7D71D"/>
    <w:rsid w:val="AB7AC660"/>
    <w:rsid w:val="AF7F8011"/>
    <w:rsid w:val="AFB705D6"/>
    <w:rsid w:val="AFEB67B6"/>
    <w:rsid w:val="B67EDA07"/>
    <w:rsid w:val="B7BB7AF7"/>
    <w:rsid w:val="B7BEA43A"/>
    <w:rsid w:val="BBFEDD8B"/>
    <w:rsid w:val="BDCDDAB3"/>
    <w:rsid w:val="BEFDEEEE"/>
    <w:rsid w:val="BFF556F3"/>
    <w:rsid w:val="CB5F6B01"/>
    <w:rsid w:val="CF3AA8C3"/>
    <w:rsid w:val="D55D8482"/>
    <w:rsid w:val="D6FDC3B6"/>
    <w:rsid w:val="D779CF8D"/>
    <w:rsid w:val="D7F2A594"/>
    <w:rsid w:val="DB6FF137"/>
    <w:rsid w:val="DBFED370"/>
    <w:rsid w:val="DDFAD6E1"/>
    <w:rsid w:val="EBDFE38A"/>
    <w:rsid w:val="ECDDE82F"/>
    <w:rsid w:val="EDBAB3A4"/>
    <w:rsid w:val="EFF5A2D9"/>
    <w:rsid w:val="F15FBE9F"/>
    <w:rsid w:val="F3BFA8E0"/>
    <w:rsid w:val="F4BDEEDA"/>
    <w:rsid w:val="F54DABFD"/>
    <w:rsid w:val="F5BF8994"/>
    <w:rsid w:val="F73DD171"/>
    <w:rsid w:val="F77A56D2"/>
    <w:rsid w:val="F77B5C73"/>
    <w:rsid w:val="F7CF7BEE"/>
    <w:rsid w:val="F7F75667"/>
    <w:rsid w:val="F98F900A"/>
    <w:rsid w:val="FAFD6B04"/>
    <w:rsid w:val="FBCECB0A"/>
    <w:rsid w:val="FBEFF96B"/>
    <w:rsid w:val="FBFF6B68"/>
    <w:rsid w:val="FCB7AA89"/>
    <w:rsid w:val="FCFFF466"/>
    <w:rsid w:val="FDFC4496"/>
    <w:rsid w:val="FEC74EC5"/>
    <w:rsid w:val="FEF2A592"/>
    <w:rsid w:val="FFB7DF24"/>
    <w:rsid w:val="FFE77CE8"/>
    <w:rsid w:val="FFEF0230"/>
    <w:rsid w:val="FFF7F340"/>
    <w:rsid w:val="FFFBACAE"/>
    <w:rsid w:val="FFFFD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16692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root</cp:lastModifiedBy>
  <dcterms:modified xsi:type="dcterms:W3CDTF">2023-03-18T09:30:41Z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