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嵌入式小车项目详细Todo清单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本清单基于项目需求拆解，覆盖从准备到交付的全流程任务，适配大一智能小车项目的开发节奏，默认项目周期为 4 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🔴 阶段 1：项目启动与准备阶段（第 1 周，截止 5.4）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 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任务描述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验收标准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依赖项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搭建嵌入式开发环境：安装 STM32CubeMX、STM32CubeIDE/MDK，配置 ST-Link 下载器驱动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可正常创建 STM32 工程，完成程序下载与调试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🔴 最高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⬜ 待开始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核心部件选型与参数确认：完成下位机主控、编码电机、电池、灰度传感器、IMU、OLED、急停按钮的选型，确认所有部件的接口、电压、通信协议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输出《部件选型清单》，所有部件参数确认无误；同步部件安装尺寸给建模组，支撑结构设计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🔴 最高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⬜ 待开始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跨组接口预对接：与 ROS 组确认串口通信基础参数（波特率、数据位等），与 AI 组确认上位机硬件对接需求，与建模组确认硬件安装孔位要求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输出《跨组对接纪要》，明确各组对接点与时间节点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🔴 高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⬜ 待开始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部件采购与来料检验：完成所有部件采购，到货后逐个单独测试部件功能，排查坏件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所有部件到货，逐个完成功能测试，记录测试结果，无损坏部件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1.2 选型完成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🔴 高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⬜ 待开始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🟠 阶段 2：硬件开发与组装阶段（第 1-2 周，截止 5.11）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 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任务描述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验收标准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依赖项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电源与保护电路设计：设计电源降压回路，为不同部件提供适配电压；添加反接保护、过流保护、保险丝，确保硬件安全不烧板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输出《电源设计图》，保护电路参数确认，满足安全要求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1.2 选型完成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🔴 高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⬜ 待开始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硬件原理图设计：绘制整体硬件原理图，完成主控引脚分配，确认电机、传感器、通信接口的引脚无冲突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输出原理图文件，同步《引脚分配表》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2.1 电源设计完成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🔴 高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⬜ 待开始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硬件板设计：完成 PCB Layout（或万能板接线规划），动力线与信号线分离布线，避免干扰，满足无杜邦线的要求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 PCB 设计文件，完成布线规则检查，无干扰风险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2.2 原理图完成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🟡 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⬜ 待开始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硬件焊接与线束制作：焊接所有元器件到硬件板，使用端子压接 / 焊接制作线束，禁止使用杜邦线，确保接插件牢固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硬件板焊接完成，无虚焊、短路；线束整齐牢固，无松动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PCB 打样 / 万能板到位、1.4 部件到货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🟡 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⬜ 待开始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2.5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硬件初步上电测试：空载上电，测试各路电源输出是否正常，排查短路风险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上电无冒烟、无异常发热，各路电源输出误差 &lt; 5%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2.4 焊接完成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🔴 高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⬜ 待开始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2.6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硬件与结构适配安装：将硬件板、电池、电机等部件安装到建模组完成的底盘上，确认孔位匹配，无安装干涉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所有硬件可牢固安装到结构上，无干涉，螺丝固定可靠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2.5 硬件测试完成、建模组结构交付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🟡 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⬜ 待开始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🟡 阶段 3：软件开发与功能实现阶段（第 2-3 周，截止 5.18）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 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任务描述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验收标准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依赖项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工程初始化：使用 CubeMX 完成外设初始化（定时器、ADC、串口、I2C、GPIO 等），生成基础工程代码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基础工程可正常编译，外设初始化配置完成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2.2 引脚分配完成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🔴 高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⬜ 待开始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底层驱动开发：逐个完成各模块的底层驱动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</w:tr>
    </w:tbl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电机驱动：PWM 输出、正反转控制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编码器驱动：脉冲计数、转速 / 里程计算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灰度传感器驱动：多通道 ADC 采集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IMU 驱动：加速度、角速度数据读取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OLED 驱动：I2C 通信、状态显示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串口驱动：中断接收、DMA 发送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急停驱动：GPIO 输入、中断检测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电量检测：ADC 采集电池电压 | 所有驱动可正常工作，编码器转速误差 &lt; 5%，传感器数据读取正常 | 3.1 工程初始化完成 | 🔴 高 | ⬜ 待开始 |</w:t>
        <w:br/>
        <w:t>| 3.3 | 灰度传感器校准：在实际运行场地，校准灰度传感器的黑线 / 白线阈值，为巡线功能做准备 | 可准确区分黑线与白线，输出校准后的阈值参数 | 3.2 灰度传感器驱动完成 | 🟡 中 | ⬜ 待开始 |</w:t>
        <w:br/>
        <w:t>| 3.4 | 串口通信协议开发：定义串口通信帧格式（帧头、长度、校验、帧尾），明确 ROS 指令与传感器数据的消息格式，编写打包 / 解析函数 | 输出《串口通信协议文档》，代码可正确打包解析数据，校验错误可识别 | 3.2 串口驱动完成 | 🔴 高 | ⬜ 待开始 |</w:t>
        <w:br/>
        <w:t>| 3.5 | 电机速度闭环控制：实现 PID 速度闭环算法，整定 PID 参数，让电机可稳定跟踪目标速度 | 电机速度响应快，无明显超调，稳态误差 &lt; 2% | 3.2 电机 / 编码器驱动完成 | 🔴 高 | ⬜ 待开始 |</w:t>
        <w:br/>
      </w:r>
      <w:r>
        <w:rPr>
          <w:rFonts w:eastAsia="等线" w:ascii="Arial" w:cs="Arial" w:hAnsi="Arial"/>
          <w:sz w:val="22"/>
        </w:rPr>
        <w:t>| 3.6 | 基础安全功能实现：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急停功能：按下急停后 10ms 内停止所有电机，锁死动力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低电量保护：电量低于阈值时自动停车并报警 | 任意状态下急停可触发，低电量可正确检测并保护 | 3.2 急停 / 电量驱动完成 | 🔴 最高 | ⬜ 待开始 |</w:t>
        <w:br/>
        <w:t>| 3.7 | 状态显示功能：OLED 实时显示小车当前速度、剩余电量、运行模式、通信状态 | 状态信息实时更新，显示清晰准确 | 3.2OLED 驱动完成 | 🟡 中 | ⬜ 待开始 |</w:t>
        <w:br/>
      </w:r>
      <w:r>
        <w:rPr>
          <w:rFonts w:eastAsia="等线" w:ascii="Arial" w:cs="Arial" w:hAnsi="Arial"/>
          <w:sz w:val="22"/>
        </w:rPr>
        <w:t>| 3.8 | ROS 对接功能开发：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接收 ROS 下发的运动控制指令，解析后控制电机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将底层传感器数据（编码器、IMU、灰度、电量）打包上传给 ROS | 可正确接收 ROS 指令，传感器数据可稳定上传，通信丢包率 &lt; 0.1% | 3.4 通信协议、3.5PID 完成 | 🔴 高 | ⬜ 待开始 |</w:t>
        <w:br/>
      </w:r>
      <w:r>
        <w:rPr>
          <w:rFonts w:eastAsia="等线" w:ascii="Arial" w:cs="Arial" w:hAnsi="Arial"/>
          <w:sz w:val="22"/>
        </w:rPr>
        <w:t>| 3.9 | 异常处理与看门狗：添加独立看门狗防止程序跑飞；实现通信超时保护，串口超时 1s 后自动停车 | 程序异常可自动复位，通信超时后小车自动停车，无失控风险 | 所有基础功能完成 | 🟡 中 | ⬜ 待开始 |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🟢 阶段 4：联调与系统测试阶段（第 3 周，截止 5.21）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 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任务描述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验收标准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依赖项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单模块功能调试：逐个测试所有驱动与基础功能，确认每个模块独立工作正常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所有模块单独测试通过，无功能异常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3.9 软件开发完成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🔴 高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⬜ 待开始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嵌入式 - ROS 组联调：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</w:tr>
    </w:tbl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对接串口通信，测试 ROS 键盘控制小车的前进 / 后退 / 转向 / 停车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测试传感器数据上传，确认 ROS 可正常接收数据，TF 树无断链 | 键盘控制可稳定驱动小车，传感器数据连续无丢失，与 ROS 接口对接稳定 | 3.8ROS 对接完成、ROS 组节点开发完成 | 🔴 高 | ⬜ 待开始 |</w:t>
        <w:br/>
        <w:t>| 4.3 | 硬件 - 结构联调：测试小车运动过程中，硬件部件是否松动，振动工况下接插件是否松脱 | 小车连续运动后，硬件无松动，接插件无松脱，结构稳定 | 2.6 硬件安装完成、4.2 基础运动联调完成 | 🔴 高 | ⬜ 待开始 |</w:t>
        <w:br/>
        <w:t>| 4.4 | 三方联调（嵌入式 + ROS+AI）：对接 AI 组的识别结果，测试自主巡线、避障功能，确认 AI 的决策可正确转化为小车的运动控制 | 自主巡线、避障功能正常，AI 识别结果可正确执行，无延迟 | 4.2ROS 联调完成、AI 组模型交付 | 🟡 中 | ⬜ 待开始 |</w:t>
        <w:br/>
        <w:t>| 4.5 | 连续稳定性测试：让小车连续运行 10 分钟，测试是否存在死机、通信中断、电机失控等问题 | 连续运行 10 分钟无异常，无死机、无失控，通信稳定 | 所有联调完成 | 🔴 高 | ⬜ 待开始 |</w:t>
        <w:br/>
      </w:r>
      <w:r>
        <w:rPr>
          <w:rFonts w:eastAsia="等线" w:ascii="Arial" w:cs="Arial" w:hAnsi="Arial"/>
          <w:sz w:val="22"/>
        </w:rPr>
        <w:t>| 4.6 | 安全功能全量测试：全场景测试急停、低电量保护、通信超时保护，确保所有安全功能可靠 | 所有安全功能在任意场景下均可正常触发，无安全隐患 | 所有联调完成 | 🔴 最高 | ⬜ 待开始 |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🟣 阶段 5：交付与验收阶段（第 4 周，截止 5.25）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 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任务描述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验收标准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依赖项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代码整理：整理底层驱动代码，添加清晰注释，规范目录结构，确保代码可编译可维护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代码清晰，注释完整，可直接编译运行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所有开发测试完成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🟡 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⬜ 待开始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交付文档编写：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</w:tr>
    </w:tbl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底层驱动代码与通信协议文档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ROS 对接接口说明（串口参数、数据格式）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电源与线束设计图及接线说明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硬件测试报告 | 所有文档内容完整，符合项目交付要求 | 所有测试完成 | 🟡 中 | ⬜ 待开始 |</w:t>
        <w:br/>
        <w:t>| 5.3 | 交付物打包：将代码、文档、硬件设计文件整理打包，确保所有交付物齐全 | 所有要求的交付物整理完毕，可直接提交 | 5.2 文档完成 | 🟡 中 | ⬜ 待开始 |</w:t>
        <w:br/>
      </w:r>
      <w:r>
        <w:rPr>
          <w:rFonts w:eastAsia="等线" w:ascii="Arial" w:cs="Arial" w:hAnsi="Arial"/>
          <w:sz w:val="22"/>
        </w:rPr>
        <w:t>| 5.4 | 验收演示：准备验收演示，验证所有验收要求：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底层驱动稳定，通信可靠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ROS 指令可闭环执行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振动工况下接插件无松脱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所有安全功能正常 | 所有验收项全部通过，演示顺利完成 | 所有测试完成 | 🔴 最高 | ⬜ 待开始 |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📋 验收要求对照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项目验收要求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对应任务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完成状态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底层驱动运行稳定，通信链路可靠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4.5 稳定性测试、5.4 验收演示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ROS 指令可闭环执行，信息交换正常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4.2ROS 联调、5.4 验收演示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振动工况下接插件无松脱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4.3 硬件结构联调、5.4 验收演示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硬件安全不烧板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2.1 保护电路、2.5 上电测试、4.6 安全测试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尽量不使用杜邦线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2.4 线束制作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⬜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8521">
    <w:lvl>
      <w:numFmt w:val="bullet"/>
      <w:suff w:val="tab"/>
      <w:lvlText w:val="•"/>
      <w:rPr>
        <w:color w:val="3370ff"/>
      </w:rPr>
    </w:lvl>
  </w:abstractNum>
  <w:abstractNum w:abstractNumId="98522">
    <w:lvl>
      <w:numFmt w:val="bullet"/>
      <w:suff w:val="tab"/>
      <w:lvlText w:val="•"/>
      <w:rPr>
        <w:color w:val="3370ff"/>
      </w:rPr>
    </w:lvl>
  </w:abstractNum>
  <w:abstractNum w:abstractNumId="98523">
    <w:lvl>
      <w:numFmt w:val="bullet"/>
      <w:suff w:val="tab"/>
      <w:lvlText w:val="•"/>
      <w:rPr>
        <w:color w:val="3370ff"/>
      </w:rPr>
    </w:lvl>
  </w:abstractNum>
  <w:abstractNum w:abstractNumId="98524">
    <w:lvl>
      <w:numFmt w:val="bullet"/>
      <w:suff w:val="tab"/>
      <w:lvlText w:val="•"/>
      <w:rPr>
        <w:color w:val="3370ff"/>
      </w:rPr>
    </w:lvl>
  </w:abstractNum>
  <w:abstractNum w:abstractNumId="98525">
    <w:lvl>
      <w:numFmt w:val="bullet"/>
      <w:suff w:val="tab"/>
      <w:lvlText w:val="•"/>
      <w:rPr>
        <w:color w:val="3370ff"/>
      </w:rPr>
    </w:lvl>
  </w:abstractNum>
  <w:abstractNum w:abstractNumId="98526">
    <w:lvl>
      <w:numFmt w:val="bullet"/>
      <w:suff w:val="tab"/>
      <w:lvlText w:val="•"/>
      <w:rPr>
        <w:color w:val="3370ff"/>
      </w:rPr>
    </w:lvl>
  </w:abstractNum>
  <w:abstractNum w:abstractNumId="98527">
    <w:lvl>
      <w:numFmt w:val="bullet"/>
      <w:suff w:val="tab"/>
      <w:lvlText w:val="•"/>
      <w:rPr>
        <w:color w:val="3370ff"/>
      </w:rPr>
    </w:lvl>
  </w:abstractNum>
  <w:abstractNum w:abstractNumId="98528">
    <w:lvl>
      <w:numFmt w:val="bullet"/>
      <w:suff w:val="tab"/>
      <w:lvlText w:val="•"/>
      <w:rPr>
        <w:color w:val="3370ff"/>
      </w:rPr>
    </w:lvl>
  </w:abstractNum>
  <w:abstractNum w:abstractNumId="98529">
    <w:lvl>
      <w:numFmt w:val="bullet"/>
      <w:suff w:val="tab"/>
      <w:lvlText w:val="•"/>
      <w:rPr>
        <w:color w:val="3370ff"/>
      </w:rPr>
    </w:lvl>
  </w:abstractNum>
  <w:abstractNum w:abstractNumId="98530">
    <w:lvl>
      <w:numFmt w:val="bullet"/>
      <w:suff w:val="tab"/>
      <w:lvlText w:val="•"/>
      <w:rPr>
        <w:color w:val="3370ff"/>
      </w:rPr>
    </w:lvl>
  </w:abstractNum>
  <w:abstractNum w:abstractNumId="98531">
    <w:lvl>
      <w:numFmt w:val="bullet"/>
      <w:suff w:val="tab"/>
      <w:lvlText w:val="•"/>
      <w:rPr>
        <w:color w:val="3370ff"/>
      </w:rPr>
    </w:lvl>
  </w:abstractNum>
  <w:abstractNum w:abstractNumId="98532">
    <w:lvl>
      <w:numFmt w:val="bullet"/>
      <w:suff w:val="tab"/>
      <w:lvlText w:val="•"/>
      <w:rPr>
        <w:color w:val="3370ff"/>
      </w:rPr>
    </w:lvl>
  </w:abstractNum>
  <w:abstractNum w:abstractNumId="98533">
    <w:lvl>
      <w:numFmt w:val="bullet"/>
      <w:suff w:val="tab"/>
      <w:lvlText w:val="•"/>
      <w:rPr>
        <w:color w:val="3370ff"/>
      </w:rPr>
    </w:lvl>
  </w:abstractNum>
  <w:abstractNum w:abstractNumId="98534">
    <w:lvl>
      <w:numFmt w:val="bullet"/>
      <w:suff w:val="tab"/>
      <w:lvlText w:val="•"/>
      <w:rPr>
        <w:color w:val="3370ff"/>
      </w:rPr>
    </w:lvl>
  </w:abstractNum>
  <w:abstractNum w:abstractNumId="98535">
    <w:lvl>
      <w:numFmt w:val="bullet"/>
      <w:suff w:val="tab"/>
      <w:lvlText w:val="•"/>
      <w:rPr>
        <w:color w:val="3370ff"/>
      </w:rPr>
    </w:lvl>
  </w:abstractNum>
  <w:abstractNum w:abstractNumId="98536">
    <w:lvl>
      <w:numFmt w:val="bullet"/>
      <w:suff w:val="tab"/>
      <w:lvlText w:val="•"/>
      <w:rPr>
        <w:color w:val="3370ff"/>
      </w:rPr>
    </w:lvl>
  </w:abstractNum>
  <w:abstractNum w:abstractNumId="98537">
    <w:lvl>
      <w:numFmt w:val="bullet"/>
      <w:suff w:val="tab"/>
      <w:lvlText w:val="•"/>
      <w:rPr>
        <w:color w:val="3370ff"/>
      </w:rPr>
    </w:lvl>
  </w:abstractNum>
  <w:abstractNum w:abstractNumId="98538">
    <w:lvl>
      <w:numFmt w:val="bullet"/>
      <w:suff w:val="tab"/>
      <w:lvlText w:val="•"/>
      <w:rPr>
        <w:color w:val="3370ff"/>
      </w:rPr>
    </w:lvl>
  </w:abstractNum>
  <w:abstractNum w:abstractNumId="98539">
    <w:lvl>
      <w:numFmt w:val="bullet"/>
      <w:suff w:val="tab"/>
      <w:lvlText w:val="•"/>
      <w:rPr>
        <w:color w:val="3370ff"/>
      </w:rPr>
    </w:lvl>
  </w:abstractNum>
  <w:abstractNum w:abstractNumId="98540">
    <w:lvl>
      <w:numFmt w:val="bullet"/>
      <w:suff w:val="tab"/>
      <w:lvlText w:val="•"/>
      <w:rPr>
        <w:color w:val="3370ff"/>
      </w:rPr>
    </w:lvl>
  </w:abstractNum>
  <w:abstractNum w:abstractNumId="98541">
    <w:lvl>
      <w:numFmt w:val="bullet"/>
      <w:suff w:val="tab"/>
      <w:lvlText w:val="•"/>
      <w:rPr>
        <w:color w:val="3370ff"/>
      </w:rPr>
    </w:lvl>
  </w:abstractNum>
  <w:abstractNum w:abstractNumId="98542">
    <w:lvl>
      <w:numFmt w:val="bullet"/>
      <w:suff w:val="tab"/>
      <w:lvlText w:val="•"/>
      <w:rPr>
        <w:color w:val="3370ff"/>
      </w:rPr>
    </w:lvl>
  </w:abstractNum>
  <w:num w:numId="1">
    <w:abstractNumId w:val="98521"/>
  </w:num>
  <w:num w:numId="2">
    <w:abstractNumId w:val="98522"/>
  </w:num>
  <w:num w:numId="3">
    <w:abstractNumId w:val="98523"/>
  </w:num>
  <w:num w:numId="4">
    <w:abstractNumId w:val="98524"/>
  </w:num>
  <w:num w:numId="5">
    <w:abstractNumId w:val="98525"/>
  </w:num>
  <w:num w:numId="6">
    <w:abstractNumId w:val="98526"/>
  </w:num>
  <w:num w:numId="7">
    <w:abstractNumId w:val="98527"/>
  </w:num>
  <w:num w:numId="8">
    <w:abstractNumId w:val="98528"/>
  </w:num>
  <w:num w:numId="9">
    <w:abstractNumId w:val="98529"/>
  </w:num>
  <w:num w:numId="10">
    <w:abstractNumId w:val="98530"/>
  </w:num>
  <w:num w:numId="11">
    <w:abstractNumId w:val="98531"/>
  </w:num>
  <w:num w:numId="12">
    <w:abstractNumId w:val="98532"/>
  </w:num>
  <w:num w:numId="13">
    <w:abstractNumId w:val="98533"/>
  </w:num>
  <w:num w:numId="14">
    <w:abstractNumId w:val="98534"/>
  </w:num>
  <w:num w:numId="15">
    <w:abstractNumId w:val="98535"/>
  </w:num>
  <w:num w:numId="16">
    <w:abstractNumId w:val="98536"/>
  </w:num>
  <w:num w:numId="17">
    <w:abstractNumId w:val="98537"/>
  </w:num>
  <w:num w:numId="18">
    <w:abstractNumId w:val="98538"/>
  </w:num>
  <w:num w:numId="19">
    <w:abstractNumId w:val="98539"/>
  </w:num>
  <w:num w:numId="20">
    <w:abstractNumId w:val="98540"/>
  </w:num>
  <w:num w:numId="21">
    <w:abstractNumId w:val="98541"/>
  </w:num>
  <w:num w:numId="22">
    <w:abstractNumId w:val="9854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2026-04-28T06:35:25Z</dcterms:created>
  <dc:creator>Apache POI</dc:creator>
</cp:coreProperties>
</file>