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华文宋体"/>
          <w:b/>
          <w:i w:val="0"/>
          <w:color w:val="1F4E79"/>
          <w:sz w:val="44"/>
        </w:rPr>
        <w:t>1. 总则</w:t>
      </w:r>
    </w:p>
    <w:p>
      <w:pPr>
        <w:pStyle w:val="Heading2"/>
      </w:pPr>
      <w:r>
        <w:rPr>
          <w:rFonts w:ascii="Times New Roman" w:hAnsi="Times New Roman" w:eastAsia="华文宋体"/>
          <w:b/>
          <w:i w:val="0"/>
          <w:sz w:val="32"/>
        </w:rPr>
        <w:t>1.1 适用范围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 w:val="0"/>
          <w:i w:val="0"/>
          <w:sz w:val="24"/>
        </w:rPr>
        <w:t>本文件规定十进制编号层级映射。</w:t>
      </w:r>
    </w:p>
    <w:p>
      <w:pPr>
        <w:pStyle w:val="Heading3"/>
      </w:pPr>
      <w:r>
        <w:rPr>
          <w:rFonts w:ascii="Times New Roman" w:hAnsi="Times New Roman" w:eastAsia="华文宋体"/>
          <w:b/>
          <w:i w:val="0"/>
          <w:sz w:val="28"/>
        </w:rPr>
        <w:t>1.1.1 细则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 w:val="0"/>
          <w:i w:val="0"/>
          <w:sz w:val="24"/>
        </w:rPr>
        <w:t>细则正文。</w:t>
      </w:r>
    </w:p>
    <w:p>
      <w:pPr>
        <w:pStyle w:val="Heading3"/>
      </w:pPr>
      <w:r>
        <w:rPr>
          <w:rFonts w:ascii="Times New Roman" w:hAnsi="Times New Roman" w:eastAsia="华文宋体"/>
          <w:b/>
          <w:i w:val="0"/>
          <w:sz w:val="28"/>
        </w:rPr>
        <w:t>1.1.2 补充</w:t>
      </w:r>
    </w:p>
    <w:p>
      <w:pPr>
        <w:spacing w:after="240" w:line="360" w:lineRule="auto"/>
        <w:ind w:firstLine="480"/>
        <w:jc w:val="both"/>
      </w:pPr>
      <w:r>
        <w:rPr>
          <w:rFonts w:ascii="Times New Roman" w:hAnsi="Times New Roman" w:eastAsia="华文宋体"/>
          <w:b w:val="0"/>
          <w:i w:val="0"/>
          <w:sz w:val="24"/>
        </w:rPr>
        <w:t>补充正文。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十进制编号样例文档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