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华文宋体"/>
          <w:b/>
          <w:i w:val="0"/>
          <w:color w:val="1F4E79"/>
          <w:sz w:val="44"/>
        </w:rPr>
        <w:t>1. 总则</w:t>
      </w:r>
    </w:p>
    <w:p>
      <w:pPr>
        <w:pStyle w:val="Heading2"/>
      </w:pPr>
      <w:r>
        <w:rPr>
          <w:rFonts w:ascii="Times New Roman" w:hAnsi="Times New Roman" w:eastAsia="华文宋体"/>
          <w:b/>
          <w:i w:val="0"/>
          <w:sz w:val="32"/>
        </w:rPr>
        <w:t>1.1 适用范围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 w:val="0"/>
          <w:sz w:val="24"/>
        </w:rPr>
        <w:t>本文件规定了某事项的适用范围、基本原则与编号约定。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 w:val="0"/>
          <w:sz w:val="24"/>
        </w:rPr>
        <w:t>第二段正文，用于覆盖正文聚合统计。</w:t>
      </w:r>
    </w:p>
    <w:p>
      <w:pPr>
        <w:pStyle w:val="Heading2"/>
      </w:pPr>
      <w:r>
        <w:rPr>
          <w:rFonts w:ascii="Times New Roman" w:hAnsi="Times New Roman" w:eastAsia="华文宋体"/>
          <w:b/>
          <w:i w:val="0"/>
          <w:sz w:val="32"/>
        </w:rPr>
        <w:t>（一）分类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/>
          <w:sz w:val="24"/>
        </w:rPr>
        <w:t>本章节使用中文序号编号。</w:t>
      </w:r>
    </w:p>
    <w:p>
      <w:pPr>
        <w:pStyle w:val="Heading3"/>
      </w:pPr>
      <w:r>
        <w:rPr>
          <w:rFonts w:ascii="Times New Roman" w:hAnsi="Times New Roman" w:eastAsia="华文宋体"/>
          <w:b/>
          <w:i w:val="0"/>
          <w:sz w:val="28"/>
        </w:rPr>
        <w:t>1.1.1 细则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/>
          <w:i w:val="0"/>
          <w:color w:val="C00000"/>
          <w:sz w:val="24"/>
          <w:u w:val="single"/>
        </w:rPr>
        <w:t>细则正文内容。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混合编号样例文档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