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rFonts w:ascii="Noto Sans SC Thin" w:hAnsi="Noto Sans SC Thin" w:eastAsia="Noto Sans SC Thin" w:cs="Noto Sans SC Thin"/>
          <w:b/>
          <w:color w:val="2D8C9E"/>
          <w:sz w:val="20"/>
        </w:rPr>
        <w:t>工业级部署方案</w:t>
      </w:r>
    </w:p>
    <w:p>
      <w:pPr>
        <w:pStyle w:val="Title"/>
        <w:jc w:val="center"/>
      </w:pPr>
      <w:r>
        <w:rPr>
          <w:rFonts w:ascii="Noto Sans SC Thin" w:hAnsi="Noto Sans SC Thin" w:eastAsia="Noto Sans SC Thin" w:cs="Noto Sans SC Thin"/>
          <w:b/>
          <w:color w:val="17365D"/>
          <w:sz w:val="56"/>
        </w:rPr>
        <w:t>NAFNet 适配麒麟9000</w:t>
        <w:br/>
        <w:t>AI-Enhancement 量产方案</w:t>
      </w:r>
    </w:p>
    <w:p>
      <w:pPr>
        <w:pStyle w:val="Subtitle"/>
        <w:jc w:val="center"/>
      </w:pPr>
      <w:r>
        <w:rPr>
          <w:rFonts w:ascii="Noto Sans SC Thin" w:hAnsi="Noto Sans SC Thin" w:eastAsia="Noto Sans SC Thin" w:cs="Noto Sans SC Thin"/>
          <w:color w:val="1F4D78"/>
          <w:sz w:val="28"/>
        </w:rPr>
        <w:t>width=64 Teacher + width=32 Student + 约15%结构化剪枝 + QAT INT8</w:t>
      </w:r>
    </w:p>
    <w:p>
      <w:pPr>
        <w:spacing w:before="440" w:after="360"/>
        <w:jc w:val="center"/>
      </w:pPr>
      <w:r>
        <w:rPr>
          <w:rFonts w:ascii="Noto Sans SC Thin" w:hAnsi="Noto Sans SC Thin" w:eastAsia="Noto Sans SC Thin" w:cs="Noto Sans SC Thin"/>
          <w:b/>
          <w:color w:val="172033"/>
          <w:sz w:val="23"/>
        </w:rPr>
        <w:t>兼容多摄、HDR/MFNR融合后增强与单帧 RAW Enhancement</w:t>
      </w:r>
    </w:p>
    <w:p>
      <w:pPr>
        <w:spacing w:before="240" w:after="400"/>
        <w:pBdr>
          <w:bottom w:val="single" w:sz="10" w:space="8" w:color="2D8C9E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46"/>
        <w:gridCol w:w="7114"/>
      </w:tblGrid>
      <w:tr>
        <w:trPr>
          <w:tblHeader w:val="true"/>
        </w:trPr>
        <w:tc>
          <w:tcPr>
            <w:tcW w:type="dxa" w:w="2246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9"/>
              </w:rPr>
              <w:t>项目项</w:t>
            </w:r>
          </w:p>
        </w:tc>
        <w:tc>
          <w:tcPr>
            <w:tcW w:type="dxa" w:w="711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9"/>
              </w:rPr>
              <w:t>内容</w:t>
            </w:r>
          </w:p>
        </w:tc>
      </w:tr>
      <w:tr>
        <w:trPr/>
        <w:tc>
          <w:tcPr>
            <w:tcW w:type="dxa" w:w="224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目标平台</w:t>
            </w:r>
          </w:p>
        </w:tc>
        <w:tc>
          <w:tcPr>
            <w:tcW w:type="dxa" w:w="711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麒麟9000 NPU / ISP 拍照链路</w:t>
            </w:r>
          </w:p>
        </w:tc>
      </w:tr>
      <w:tr>
        <w:trPr/>
        <w:tc>
          <w:tcPr>
            <w:tcW w:type="dxa" w:w="224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量产主模型</w:t>
            </w:r>
          </w:p>
        </w:tc>
        <w:tc>
          <w:tcPr>
            <w:tcW w:type="dxa" w:w="711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约12.1–12.4M参数，主干INT8，I/O按画质保留FP16</w:t>
            </w:r>
          </w:p>
        </w:tc>
      </w:tr>
      <w:tr>
        <w:trPr/>
        <w:tc>
          <w:tcPr>
            <w:tcW w:type="dxa" w:w="224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适用模式</w:t>
            </w:r>
          </w:p>
        </w:tc>
        <w:tc>
          <w:tcPr>
            <w:tcW w:type="dxa" w:w="711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默认拍照、单帧夜景、HDR/MFNR融合后增强、多摄</w:t>
            </w:r>
          </w:p>
        </w:tc>
      </w:tr>
      <w:tr>
        <w:trPr/>
        <w:tc>
          <w:tcPr>
            <w:tcW w:type="dxa" w:w="224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文档版本</w:t>
            </w:r>
          </w:p>
        </w:tc>
        <w:tc>
          <w:tcPr>
            <w:tcW w:type="dxa" w:w="711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V1.0 / 2026-07-26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EAF5EF" w:val="clear"/>
            <w:tcBorders>
              <w:top w:val="single" w:sz="4" w:space="0" w:color="D8DEE8"/>
              <w:left w:val="single" w:sz="22" w:space="0" w:color="2F6B4F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2F6B4F"/>
              </w:rPr>
              <w:t>最终推荐：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量产主线采用共享 width=32 Student，不删除 NAFBlock、不改变各 Stage 主通道；以 width=64 Teacher 完成多域蒸馏，按全模型约15%进行块内结构化剪枝，物理重构后完成QAT。最终部署模型以约12.2M参数为中心，而非继续追求8M。</w:t>
            </w:r>
          </w:p>
        </w:tc>
      </w:tr>
    </w:tbl>
    <w:p>
      <w:pPr>
        <w:spacing w:after="40"/>
      </w:pPr>
    </w:p>
    <w:p>
      <w:r>
        <w:rPr>
          <w:rFonts w:ascii="Noto Sans SC Thin" w:hAnsi="Noto Sans SC Thin" w:eastAsia="Noto Sans SC Thin" w:cs="Noto Sans SC Thin"/>
          <w:i w:val="0"/>
          <w:color w:val="172033"/>
        </w:rPr>
        <w:t>该方案把多摄、多帧HDR/MFNR与单帧增强统一为“同一骨干、同一静态输入形状、不同上下文条件”的运行框架。多帧路径只对融合后的单张RAW运行一次大模型；多摄差异通过Sensor校准包、规范化和摄像头嵌入通道处理，避免为每颗Sensor维护完整独立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25"/>
        <w:gridCol w:w="4626"/>
        <w:gridCol w:w="3109"/>
      </w:tblGrid>
      <w:tr>
        <w:trPr>
          <w:tblHeader w:val="true"/>
        </w:trPr>
        <w:tc>
          <w:tcPr>
            <w:tcW w:type="dxa" w:w="162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关键项</w:t>
            </w:r>
          </w:p>
        </w:tc>
        <w:tc>
          <w:tcPr>
            <w:tcW w:type="dxa" w:w="4626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冻结决策</w:t>
            </w:r>
          </w:p>
        </w:tc>
        <w:tc>
          <w:tcPr>
            <w:tcW w:type="dxa" w:w="3109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量产中心值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Teacher</w:t>
            </w:r>
          </w:p>
        </w:tc>
        <w:tc>
          <w:tcPr>
            <w:tcW w:type="dxa" w:w="462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服务器侧高画质上限，不端侧部署</w:t>
            </w:r>
          </w:p>
        </w:tc>
        <w:tc>
          <w:tcPr>
            <w:tcW w:type="dxa" w:w="310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width=64，约57M</w:t>
            </w:r>
          </w:p>
        </w:tc>
      </w:tr>
      <w:tr>
        <w:trPr/>
        <w:tc>
          <w:tcPr>
            <w:tcW w:type="dxa" w:w="1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</w:t>
            </w:r>
          </w:p>
        </w:tc>
        <w:tc>
          <w:tcPr>
            <w:tcW w:type="dxa" w:w="462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原生width=32训练，不从Teacher直接裁宽</w:t>
            </w:r>
          </w:p>
        </w:tc>
        <w:tc>
          <w:tcPr>
            <w:tcW w:type="dxa" w:w="310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14.347M基线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剪枝</w:t>
            </w:r>
          </w:p>
        </w:tc>
        <w:tc>
          <w:tcPr>
            <w:tcW w:type="dxa" w:w="462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只剪NAFBlock内部扩展通道，物理重构</w:t>
            </w:r>
          </w:p>
        </w:tc>
        <w:tc>
          <w:tcPr>
            <w:tcW w:type="dxa" w:w="310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全模型14%–16%，中心15%</w:t>
            </w:r>
          </w:p>
        </w:tc>
      </w:tr>
      <w:tr>
        <w:trPr/>
        <w:tc>
          <w:tcPr>
            <w:tcW w:type="dxa" w:w="1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最终参数</w:t>
            </w:r>
          </w:p>
        </w:tc>
        <w:tc>
          <w:tcPr>
            <w:tcW w:type="dxa" w:w="462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包含静态条件输入带来的少量参数</w:t>
            </w:r>
          </w:p>
        </w:tc>
        <w:tc>
          <w:tcPr>
            <w:tcW w:type="dxa" w:w="310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约12.1–12.4M，中心12.2M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精度</w:t>
            </w:r>
          </w:p>
        </w:tc>
        <w:tc>
          <w:tcPr>
            <w:tcW w:type="dxa" w:w="462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主干QAT INT8；首尾与敏感算子允许FP16</w:t>
            </w:r>
          </w:p>
        </w:tc>
        <w:tc>
          <w:tcPr>
            <w:tcW w:type="dxa" w:w="310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INT8计算占比≥95%</w:t>
            </w:r>
          </w:p>
        </w:tc>
      </w:tr>
      <w:tr>
        <w:trPr/>
        <w:tc>
          <w:tcPr>
            <w:tcW w:type="dxa" w:w="1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默认性能门限</w:t>
            </w:r>
          </w:p>
        </w:tc>
        <w:tc>
          <w:tcPr>
            <w:tcW w:type="dxa" w:w="462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以目标固件真实OM热态统计</w:t>
            </w:r>
          </w:p>
        </w:tc>
        <w:tc>
          <w:tcPr>
            <w:tcW w:type="dxa" w:w="310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P90≤150ms，P99≤250ms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FFF6DE" w:val="clear"/>
            <w:tcBorders>
              <w:top w:val="single" w:sz="4" w:space="0" w:color="D8DEE8"/>
              <w:left w:val="single" w:sz="22" w:space="0" w:color="8A6817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8A6817"/>
              </w:rPr>
              <w:t>边界说明：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参数量、OM包体、时延不是同一指标。12.2M参数不保证OM文件恰好为12.2MB；量产决策必须同时基于真实OM、目标分辨率、Tile策略、峰值内存、连续拍照热态时延和端到端画质。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项目目标与适用边界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业务目标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建立可在麒麟9000拍照链路商业部署的AI-Enhancement主模型，兼顾画质、时延、功耗、内存和维护成本。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使用单一共享骨干覆盖主摄、超广角、长焦等多摄Sensor，并允许通过小型校准包扩展新Sensor。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同时支持单帧RAW增强与HDR/MFNR融合后RAW增强；HDR路径不对每个源帧重复运行NAFNet。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训练、剪枝、QAT、ONNX/OM转换、实机基准和量产回归均有明确输入、输出和放行门限。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量化目标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68"/>
        <w:gridCol w:w="2007"/>
        <w:gridCol w:w="2103"/>
        <w:gridCol w:w="3482"/>
      </w:tblGrid>
      <w:tr>
        <w:trPr>
          <w:tblHeader w:val="true"/>
        </w:trPr>
        <w:tc>
          <w:tcPr>
            <w:tcW w:type="dxa" w:w="1768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2007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P0基线</w:t>
            </w:r>
          </w:p>
        </w:tc>
        <w:tc>
          <w:tcPr>
            <w:tcW w:type="dxa" w:w="210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量产目标</w:t>
            </w:r>
          </w:p>
        </w:tc>
        <w:tc>
          <w:tcPr>
            <w:tcW w:type="dxa" w:w="348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硬性判定方式</w:t>
            </w:r>
          </w:p>
        </w:tc>
      </w:tr>
      <w:tr>
        <w:trPr/>
        <w:tc>
          <w:tcPr>
            <w:tcW w:type="dxa" w:w="176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参数量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 14.347M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12.1–12.4M</w:t>
            </w:r>
          </w:p>
        </w:tc>
        <w:tc>
          <w:tcPr>
            <w:tcW w:type="dxa" w:w="3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物理图参数统计；不得以稀疏零值替代</w:t>
            </w:r>
          </w:p>
        </w:tc>
      </w:tr>
      <w:tr>
        <w:trPr/>
        <w:tc>
          <w:tcPr>
            <w:tcW w:type="dxa" w:w="176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剪枝率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0%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全模型14%–16%</w:t>
            </w:r>
          </w:p>
        </w:tc>
        <w:tc>
          <w:tcPr>
            <w:tcW w:type="dxa" w:w="3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相对原生Student；中心15%</w:t>
            </w:r>
          </w:p>
        </w:tc>
      </w:tr>
      <w:tr>
        <w:trPr/>
        <w:tc>
          <w:tcPr>
            <w:tcW w:type="dxa" w:w="176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权重精度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FP32训练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INT8主干</w:t>
            </w:r>
          </w:p>
        </w:tc>
        <w:tc>
          <w:tcPr>
            <w:tcW w:type="dxa" w:w="3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真实OM算子与计算量统计</w:t>
            </w:r>
          </w:p>
        </w:tc>
      </w:tr>
      <w:tr>
        <w:trPr/>
        <w:tc>
          <w:tcPr>
            <w:tcW w:type="dxa" w:w="176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默认模式时延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待P0实测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P90≤150ms</w:t>
            </w:r>
          </w:p>
        </w:tc>
        <w:tc>
          <w:tcPr>
            <w:tcW w:type="dxa" w:w="3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目标分辨率、热态、20张连续拍照</w:t>
            </w:r>
          </w:p>
        </w:tc>
      </w:tr>
      <w:tr>
        <w:trPr/>
        <w:tc>
          <w:tcPr>
            <w:tcW w:type="dxa" w:w="176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峰值额外内存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待P0实测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建议≤250–350MB</w:t>
            </w:r>
          </w:p>
        </w:tc>
        <w:tc>
          <w:tcPr>
            <w:tcW w:type="dxa" w:w="3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融合缓存释放后统计AI阶段峰值</w:t>
            </w:r>
          </w:p>
        </w:tc>
      </w:tr>
      <w:tr>
        <w:trPr/>
        <w:tc>
          <w:tcPr>
            <w:tcW w:type="dxa" w:w="176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量化画质损失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剪枝FP32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PSNR下降≤0.08dB</w:t>
            </w:r>
          </w:p>
        </w:tc>
        <w:tc>
          <w:tcPr>
            <w:tcW w:type="dxa" w:w="3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每个Sensor/模式分别验收</w:t>
            </w:r>
          </w:p>
        </w:tc>
      </w:tr>
      <w:tr>
        <w:trPr/>
        <w:tc>
          <w:tcPr>
            <w:tcW w:type="dxa" w:w="176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最终画质损失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未剪枝Student FP32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综合PSNR下降≤0.15dB</w:t>
            </w:r>
          </w:p>
        </w:tc>
        <w:tc>
          <w:tcPr>
            <w:tcW w:type="dxa" w:w="3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不得由均值掩盖尾部场景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不在本方案内的内容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不把width=64 Teacher部署到端侧；Teacher仅用于建立画质上限、产生软标签和特征监督。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不把width=64直接裁剪成width=32；Student从原生width=32结构独立训练。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不删除NAFBlock、不改变Encoder/Decoder Stage主通道、不打断Skip连接。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不以单次冷机、单一主摄或平均PSNR作为量产放行依据。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不承诺未经目标CANN/固件验证的算子一定全部落在NPU；部署能力以真实转换日志和Profiler为准。</w:t>
      </w: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统一ISP运行架构</w:t>
      </w:r>
    </w:p>
    <w:p>
      <w:pPr>
        <w:spacing w:before="80" w:after="4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806440" cy="2483866"/>
            <wp:docPr id="1" name="Picture 1" title="图1  多摄、HDR/MFNR融合后增强与单帧增强的统一运行路径" descr="图1  多摄、HDR/MFNR融合后增强与单帧增强的统一运行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_ru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图1  多摄、HDR/MFNR融合后增强与单帧增强的统一运行路径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推荐插入位置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默认位置为HDR/MFNR融合完成、融合中间缓存可释放之后，Demosaic之前。这样模型处理的是一张融合后的canonical packed RAW，既能利用融合结果，又避免对N个源帧执行N次大模型推理。单帧模式直接旁路融合模块进入同一AI接口。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多帧路径：Sensor RAW序列 → 配准 → HDR/MFNR融合 → 释放源帧缓存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        → 上下文构建 → AI-Enhancement → Demosaic/传统ISP → 编码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单帧路径：Sensor RAW → RAW规范化 → 上下文构建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        → AI-Enhancement → Demosaic/传统ISP → 编码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静态输入契约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为便于OM静态编译和跨模式复用，输入固定为N×16×H×W，H/W为packed RAW空间尺寸并向16的倍数Pad。所有标量通过常量平面广播，避免运行时改变输入通道数。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60"/>
        <w:gridCol w:w="2151"/>
        <w:gridCol w:w="2007"/>
        <w:gridCol w:w="2294"/>
        <w:gridCol w:w="2048"/>
      </w:tblGrid>
      <w:tr>
        <w:trPr>
          <w:tblHeader w:val="true"/>
        </w:trPr>
        <w:tc>
          <w:tcPr>
            <w:tcW w:type="dxa" w:w="86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通道</w:t>
            </w:r>
          </w:p>
        </w:tc>
        <w:tc>
          <w:tcPr>
            <w:tcW w:type="dxa" w:w="2151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名称</w:t>
            </w:r>
          </w:p>
        </w:tc>
        <w:tc>
          <w:tcPr>
            <w:tcW w:type="dxa" w:w="2007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单帧值</w:t>
            </w:r>
          </w:p>
        </w:tc>
        <w:tc>
          <w:tcPr>
            <w:tcW w:type="dxa" w:w="229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HDR/MFNR值</w:t>
            </w:r>
          </w:p>
        </w:tc>
        <w:tc>
          <w:tcPr>
            <w:tcW w:type="dxa" w:w="2048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归一化</w:t>
            </w:r>
          </w:p>
        </w:tc>
      </w:tr>
      <w:tr>
        <w:trPr/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0–3</w:t>
            </w:r>
          </w:p>
        </w:tc>
        <w:tc>
          <w:tcPr>
            <w:tcW w:type="dxa" w:w="21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Canonical packed RAW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当前帧</w:t>
            </w:r>
          </w:p>
        </w:tc>
        <w:tc>
          <w:tcPr>
            <w:tcW w:type="dxa" w:w="229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融合后RAW</w:t>
            </w:r>
          </w:p>
        </w:tc>
        <w:tc>
          <w:tcPr>
            <w:tcW w:type="dxa" w:w="204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黑白电平归一至[0,1]</w:t>
            </w:r>
          </w:p>
        </w:tc>
      </w:tr>
      <w:tr>
        <w:trPr/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4</w:t>
            </w:r>
          </w:p>
        </w:tc>
        <w:tc>
          <w:tcPr>
            <w:tcW w:type="dxa" w:w="215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Noise sigma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Sensor噪声模型</w:t>
            </w:r>
          </w:p>
        </w:tc>
        <w:tc>
          <w:tcPr>
            <w:tcW w:type="dxa" w:w="229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融合后等效噪声</w:t>
            </w:r>
          </w:p>
        </w:tc>
        <w:tc>
          <w:tcPr>
            <w:tcW w:type="dxa" w:w="204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[0,1]</w:t>
            </w:r>
          </w:p>
        </w:tc>
      </w:tr>
      <w:tr>
        <w:trPr/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5</w:t>
            </w:r>
          </w:p>
        </w:tc>
        <w:tc>
          <w:tcPr>
            <w:tcW w:type="dxa" w:w="21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Exposure / EV ratio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1或归一化曝光</w:t>
            </w:r>
          </w:p>
        </w:tc>
        <w:tc>
          <w:tcPr>
            <w:tcW w:type="dxa" w:w="229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融合动态范围/EV比</w:t>
            </w:r>
          </w:p>
        </w:tc>
        <w:tc>
          <w:tcPr>
            <w:tcW w:type="dxa" w:w="204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[0,1]或log域</w:t>
            </w:r>
          </w:p>
        </w:tc>
      </w:tr>
      <w:tr>
        <w:trPr/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</w:t>
            </w:r>
          </w:p>
        </w:tc>
        <w:tc>
          <w:tcPr>
            <w:tcW w:type="dxa" w:w="215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Fusion confidence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固定1</w:t>
            </w:r>
          </w:p>
        </w:tc>
        <w:tc>
          <w:tcPr>
            <w:tcW w:type="dxa" w:w="229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融合模块置信度图</w:t>
            </w:r>
          </w:p>
        </w:tc>
        <w:tc>
          <w:tcPr>
            <w:tcW w:type="dxa" w:w="204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[0,1]</w:t>
            </w:r>
          </w:p>
        </w:tc>
      </w:tr>
      <w:tr>
        <w:trPr/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7</w:t>
            </w:r>
          </w:p>
        </w:tc>
        <w:tc>
          <w:tcPr>
            <w:tcW w:type="dxa" w:w="21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Motion / ghost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固定0</w:t>
            </w:r>
          </w:p>
        </w:tc>
        <w:tc>
          <w:tcPr>
            <w:tcW w:type="dxa" w:w="229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运动/鬼影风险图</w:t>
            </w:r>
          </w:p>
        </w:tc>
        <w:tc>
          <w:tcPr>
            <w:tcW w:type="dxa" w:w="204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[0,1]</w:t>
            </w:r>
          </w:p>
        </w:tc>
      </w:tr>
      <w:tr>
        <w:trPr/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8–11</w:t>
            </w:r>
          </w:p>
        </w:tc>
        <w:tc>
          <w:tcPr>
            <w:tcW w:type="dxa" w:w="215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Camera embedding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按Sensor查表</w:t>
            </w:r>
          </w:p>
        </w:tc>
        <w:tc>
          <w:tcPr>
            <w:tcW w:type="dxa" w:w="229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按Sensor查表</w:t>
            </w:r>
          </w:p>
        </w:tc>
        <w:tc>
          <w:tcPr>
            <w:tcW w:type="dxa" w:w="204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4维常量平面</w:t>
            </w:r>
          </w:p>
        </w:tc>
      </w:tr>
      <w:tr>
        <w:trPr/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</w:t>
            </w:r>
          </w:p>
        </w:tc>
        <w:tc>
          <w:tcPr>
            <w:tcW w:type="dxa" w:w="21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R/G白平衡比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3A元数据</w:t>
            </w:r>
          </w:p>
        </w:tc>
        <w:tc>
          <w:tcPr>
            <w:tcW w:type="dxa" w:w="229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融合后元数据</w:t>
            </w:r>
          </w:p>
        </w:tc>
        <w:tc>
          <w:tcPr>
            <w:tcW w:type="dxa" w:w="204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截断后归一化</w:t>
            </w:r>
          </w:p>
        </w:tc>
      </w:tr>
      <w:tr>
        <w:trPr/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13</w:t>
            </w:r>
          </w:p>
        </w:tc>
        <w:tc>
          <w:tcPr>
            <w:tcW w:type="dxa" w:w="215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B/G白平衡比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3A元数据</w:t>
            </w:r>
          </w:p>
        </w:tc>
        <w:tc>
          <w:tcPr>
            <w:tcW w:type="dxa" w:w="229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融合后元数据</w:t>
            </w:r>
          </w:p>
        </w:tc>
        <w:tc>
          <w:tcPr>
            <w:tcW w:type="dxa" w:w="204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截断后归一化</w:t>
            </w:r>
          </w:p>
        </w:tc>
      </w:tr>
      <w:tr>
        <w:trPr/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14</w:t>
            </w:r>
          </w:p>
        </w:tc>
        <w:tc>
          <w:tcPr>
            <w:tcW w:type="dxa" w:w="21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Mode code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</w:t>
            </w:r>
          </w:p>
        </w:tc>
        <w:tc>
          <w:tcPr>
            <w:tcW w:type="dxa" w:w="229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HDR/MFNR编码</w:t>
            </w:r>
          </w:p>
        </w:tc>
        <w:tc>
          <w:tcPr>
            <w:tcW w:type="dxa" w:w="204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[0,1]</w:t>
            </w:r>
          </w:p>
        </w:tc>
      </w:tr>
      <w:tr>
        <w:trPr/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15</w:t>
            </w:r>
          </w:p>
        </w:tc>
        <w:tc>
          <w:tcPr>
            <w:tcW w:type="dxa" w:w="215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Valid / Tile mask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有效区=1</w:t>
            </w:r>
          </w:p>
        </w:tc>
        <w:tc>
          <w:tcPr>
            <w:tcW w:type="dxa" w:w="229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有效区=1</w:t>
            </w:r>
          </w:p>
        </w:tc>
        <w:tc>
          <w:tcPr>
            <w:tcW w:type="dxa" w:w="204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Pad/边界=0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E8EEF5" w:val="clear"/>
            <w:tcBorders>
              <w:top w:val="single" w:sz="4" w:space="0" w:color="D8DEE8"/>
              <w:left w:val="single" w:sz="22" w:space="0" w:color="17365D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</w:rPr>
              <w:t>部署建议：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若目标编译器对16通道首层存在明显额外开销，可A/B测试8通道精简契约；但量产主线优先保留16通道静态接口，因为它显著降低多摄与HDR域冲突，增加的Intro参数仅为数千级。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输出契约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网络输出4通道RAW残差ΔRAW；最终结果为clip(raw + Δraw, 0, 1)，保留原始信号的可解释基线。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训练阶段可增加噪声/置信度辅助Head用于正则化，但导出前删除，不进入量产OM。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模型输入建议FP16，首层之后进入INT8主干；Ending和残差合成优先FP16，防止12/14-bit RAW量化造成banding。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输出仍处于canonical RAW域，后续由每颗Sensor的逆规范化、Demosaic和色彩ISP完成。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多摄兼容策略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共享模型能否量产，核心在于把Sensor差异拆成“模型外可校准项”和“模型内需学习项”。模型外先统一CFA排列、黑电平、白电平、增益、坏点和Lens Shading；模型内通过camera embedding、噪声图和多域训练吸收剩余差异。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25"/>
        <w:gridCol w:w="2963"/>
        <w:gridCol w:w="2342"/>
        <w:gridCol w:w="2430"/>
      </w:tblGrid>
      <w:tr>
        <w:trPr>
          <w:tblHeader w:val="true"/>
        </w:trPr>
        <w:tc>
          <w:tcPr>
            <w:tcW w:type="dxa" w:w="162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296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234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交付物</w:t>
            </w:r>
          </w:p>
        </w:tc>
        <w:tc>
          <w:tcPr>
            <w:tcW w:type="dxa" w:w="243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新增Sensor动作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模型外规范化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CFA、black/white level、gain、LSC、有效区</w:t>
            </w:r>
          </w:p>
        </w:tc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sensor_calib.json / LUT</w:t>
            </w:r>
          </w:p>
        </w:tc>
        <w:tc>
          <w:tcPr>
            <w:tcW w:type="dxa" w:w="243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采集标定并验证</w:t>
            </w:r>
          </w:p>
        </w:tc>
      </w:tr>
      <w:tr>
        <w:trPr/>
        <w:tc>
          <w:tcPr>
            <w:tcW w:type="dxa" w:w="1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上下文构建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噪声、曝光、WB、模式、融合置信度</w:t>
            </w:r>
          </w:p>
        </w:tc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context_builder</w:t>
            </w:r>
          </w:p>
        </w:tc>
        <w:tc>
          <w:tcPr>
            <w:tcW w:type="dxa" w:w="243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更新元数据映射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模型内域适配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4维camera embedding</w:t>
            </w:r>
          </w:p>
        </w:tc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camera_embedding.bin</w:t>
            </w:r>
          </w:p>
        </w:tc>
        <w:tc>
          <w:tcPr>
            <w:tcW w:type="dxa" w:w="243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训练或微调4维向量</w:t>
            </w:r>
          </w:p>
        </w:tc>
      </w:tr>
      <w:tr>
        <w:trPr/>
        <w:tc>
          <w:tcPr>
            <w:tcW w:type="dxa" w:w="1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共享骨干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NAFNet Student</w:t>
            </w:r>
          </w:p>
        </w:tc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单一OM</w:t>
            </w:r>
          </w:p>
        </w:tc>
        <w:tc>
          <w:tcPr>
            <w:tcW w:type="dxa" w:w="243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原则上不变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回退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仅当域差无法收敛</w:t>
            </w:r>
          </w:p>
        </w:tc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同结构camera-specific OM</w:t>
            </w:r>
          </w:p>
        </w:tc>
        <w:tc>
          <w:tcPr>
            <w:tcW w:type="dxa" w:w="243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需要专项评审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FCEBEC" w:val="clear"/>
            <w:tcBorders>
              <w:top w:val="single" w:sz="4" w:space="0" w:color="D8DEE8"/>
              <w:left w:val="single" w:sz="22" w:space="0" w:color="9B1C1C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9B1C1C"/>
              </w:rPr>
              <w:t>多摄放行原则：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任何摄像头都必须独立通过画质门限。主摄样本量较大不能掩盖超广角边缘噪声、长焦高增益纹理损失或不同CFA/黑电平带来的色偏。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HDR/MFNR兼容策略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主路径使用融合后的单张RAW作为网络图像输入，融合confidence与motion/ghost作为显式条件。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对低置信度或运动区域，提高重建和边缘损失权重；对稳定区域允许更强降噪与细节恢复。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融合模块必须输出与packed RAW严格对齐的置信度图；如仅有低分辨率mask，需使用确定性插值并纳入回归测试。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AI阶段不得重新发明配准；明显错配应由融合模块标记，AI只做残余伪影抑制和局部保守增强。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夜景后台模式可以放宽处理时间，但不得与融合峰值缓存长期重叠。</w:t>
      </w: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Teacher与Student模型定义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width=64 Teacher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img_channel: 16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out_channel: 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width: 64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enc_blk_nums: [2, 2, 4, 8]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middle_blk_num: 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dec_blk_nums: [2, 2, 2, 2]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precision: FP32/BF16 mixed training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deployment: server-side training only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estimated_params: about 57M (final value from model summary)</w:t>
            </w:r>
          </w:p>
        </w:tc>
      </w:tr>
    </w:tbl>
    <w:p>
      <w:pPr>
        <w:spacing w:after="40"/>
      </w:pPr>
    </w:p>
    <w:p>
      <w:r>
        <w:rPr>
          <w:rFonts w:ascii="Noto Sans SC Thin" w:hAnsi="Noto Sans SC Thin" w:eastAsia="Noto Sans SC Thin" w:cs="Noto Sans SC Thin"/>
          <w:i w:val="0"/>
          <w:color w:val="172033"/>
        </w:rPr>
        <w:t>Teacher用于拟合极暗光、高ISO、HDR高光、融合残余鬼影、超广角边缘和长焦细纹理的画质上限。Teacher与Student使用相同16通道输入语义和4通道残差输出，避免蒸馏时出现任务接口不一致。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原生width=32 Student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img_channel: 16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out_channel: 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width: 32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enc_blk_nums: [2, 2, 4, 8]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middle_blk_num: 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dec_blk_nums: [2, 2, 2, 2]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baseline_params: about 14.347M + negligible intro-channel increment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pruned_target: about 12.1–12.4M total (center about 12.2M)</w:t>
            </w:r>
          </w:p>
        </w:tc>
      </w:tr>
    </w:tbl>
    <w:p>
      <w:pPr>
        <w:spacing w:after="40"/>
      </w:pPr>
    </w:p>
    <w:p>
      <w:r>
        <w:rPr>
          <w:rFonts w:ascii="Noto Sans SC Thin" w:hAnsi="Noto Sans SC Thin" w:eastAsia="Noto Sans SC Thin" w:cs="Noto Sans SC Thin"/>
          <w:i w:val="0"/>
          <w:color w:val="172033"/>
        </w:rPr>
        <w:t>Student从随机初始化或通用RAW预训练权重开始，以原生width=32完整训练。禁止将Teacher的基础宽度直接从64裁为32，因为Stage主通道、Skip和残差表示空间会整体改变，直接裁宽会引入跨层通道映射不稳定。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60"/>
        <w:gridCol w:w="2963"/>
        <w:gridCol w:w="1816"/>
        <w:gridCol w:w="1147"/>
        <w:gridCol w:w="1474"/>
      </w:tblGrid>
      <w:tr>
        <w:trPr>
          <w:tblHeader w:val="true"/>
        </w:trPr>
        <w:tc>
          <w:tcPr>
            <w:tcW w:type="dxa" w:w="196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模型</w:t>
            </w:r>
          </w:p>
        </w:tc>
        <w:tc>
          <w:tcPr>
            <w:tcW w:type="dxa" w:w="296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1816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参数量</w:t>
            </w:r>
          </w:p>
        </w:tc>
        <w:tc>
          <w:tcPr>
            <w:tcW w:type="dxa" w:w="1147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端侧</w:t>
            </w:r>
          </w:p>
        </w:tc>
        <w:tc>
          <w:tcPr>
            <w:tcW w:type="dxa" w:w="147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使用阶段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Teacher-64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画质上限与蒸馏监督</w:t>
            </w:r>
          </w:p>
        </w:tc>
        <w:tc>
          <w:tcPr>
            <w:tcW w:type="dxa" w:w="18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约57M</w:t>
            </w:r>
          </w:p>
        </w:tc>
        <w:tc>
          <w:tcPr>
            <w:tcW w:type="dxa" w:w="114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否</w:t>
            </w:r>
          </w:p>
        </w:tc>
        <w:tc>
          <w:tcPr>
            <w:tcW w:type="dxa" w:w="147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训练/评测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Student-32 FP32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蒸馏后未剪枝基线</w:t>
            </w:r>
          </w:p>
        </w:tc>
        <w:tc>
          <w:tcPr>
            <w:tcW w:type="dxa" w:w="18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约14.35M</w:t>
            </w:r>
          </w:p>
        </w:tc>
        <w:tc>
          <w:tcPr>
            <w:tcW w:type="dxa" w:w="114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候选</w:t>
            </w:r>
          </w:p>
        </w:tc>
        <w:tc>
          <w:tcPr>
            <w:tcW w:type="dxa" w:w="147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P0基线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Student-32 Pruned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15%物理结构化剪枝</w:t>
            </w:r>
          </w:p>
        </w:tc>
        <w:tc>
          <w:tcPr>
            <w:tcW w:type="dxa" w:w="18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约12.1–12.4M</w:t>
            </w:r>
          </w:p>
        </w:tc>
        <w:tc>
          <w:tcPr>
            <w:tcW w:type="dxa" w:w="114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候选</w:t>
            </w:r>
          </w:p>
        </w:tc>
        <w:tc>
          <w:tcPr>
            <w:tcW w:type="dxa" w:w="147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P3/QAT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Student-32 OM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量产主模型</w:t>
            </w:r>
          </w:p>
        </w:tc>
        <w:tc>
          <w:tcPr>
            <w:tcW w:type="dxa" w:w="18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参数不变，包体另测</w:t>
            </w:r>
          </w:p>
        </w:tc>
        <w:tc>
          <w:tcPr>
            <w:tcW w:type="dxa" w:w="114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是</w:t>
            </w:r>
          </w:p>
        </w:tc>
        <w:tc>
          <w:tcPr>
            <w:tcW w:type="dxa" w:w="147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实机发布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数据体系与样本组织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数据域矩阵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43"/>
        <w:gridCol w:w="2963"/>
        <w:gridCol w:w="2485"/>
        <w:gridCol w:w="2669"/>
      </w:tblGrid>
      <w:tr>
        <w:trPr>
          <w:tblHeader w:val="true"/>
        </w:trPr>
        <w:tc>
          <w:tcPr>
            <w:tcW w:type="dxa" w:w="124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296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必须覆盖</w:t>
            </w:r>
          </w:p>
        </w:tc>
        <w:tc>
          <w:tcPr>
            <w:tcW w:type="dxa" w:w="248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建议采样策略</w:t>
            </w:r>
          </w:p>
        </w:tc>
        <w:tc>
          <w:tcPr>
            <w:tcW w:type="dxa" w:w="2669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尾部重点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摄像头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主摄/超广角/长焦/前摄（如适用）</w:t>
            </w:r>
          </w:p>
        </w:tc>
        <w:tc>
          <w:tcPr>
            <w:tcW w:type="dxa" w:w="248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按camera均衡，不按自然量直接采样</w:t>
            </w:r>
          </w:p>
        </w:tc>
        <w:tc>
          <w:tcPr>
            <w:tcW w:type="dxa" w:w="266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超广边缘、长焦高gain</w:t>
            </w:r>
          </w:p>
        </w:tc>
      </w:tr>
      <w:tr>
        <w:trPr/>
        <w:tc>
          <w:tcPr>
            <w:tcW w:type="dxa" w:w="124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模式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单帧/HDR/MFNR/夜景</w:t>
            </w:r>
          </w:p>
        </w:tc>
        <w:tc>
          <w:tcPr>
            <w:tcW w:type="dxa" w:w="248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单帧45%，融合45%，hard case 10%</w:t>
            </w:r>
          </w:p>
        </w:tc>
        <w:tc>
          <w:tcPr>
            <w:tcW w:type="dxa" w:w="266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融合错配与饱和区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ISO/增益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低/中/高/极高</w:t>
            </w:r>
          </w:p>
        </w:tc>
        <w:tc>
          <w:tcPr>
            <w:tcW w:type="dxa" w:w="248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30%/35%/25%/10%</w:t>
            </w:r>
          </w:p>
        </w:tc>
        <w:tc>
          <w:tcPr>
            <w:tcW w:type="dxa" w:w="266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高ISO色噪、暗部纹理</w:t>
            </w:r>
          </w:p>
        </w:tc>
      </w:tr>
      <w:tr>
        <w:trPr/>
        <w:tc>
          <w:tcPr>
            <w:tcW w:type="dxa" w:w="124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照度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日光/室内/低照/极暗</w:t>
            </w:r>
          </w:p>
        </w:tc>
        <w:tc>
          <w:tcPr>
            <w:tcW w:type="dxa" w:w="248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分桶均衡</w:t>
            </w:r>
          </w:p>
        </w:tc>
        <w:tc>
          <w:tcPr>
            <w:tcW w:type="dxa" w:w="266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极暗光与点光源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运动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静态/轻微/中等/强运动</w:t>
            </w:r>
          </w:p>
        </w:tc>
        <w:tc>
          <w:tcPr>
            <w:tcW w:type="dxa" w:w="248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HDR域内分层采样</w:t>
            </w:r>
          </w:p>
        </w:tc>
        <w:tc>
          <w:tcPr>
            <w:tcW w:type="dxa" w:w="266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人脸、手、车辆、树叶</w:t>
            </w:r>
          </w:p>
        </w:tc>
      </w:tr>
      <w:tr>
        <w:trPr/>
        <w:tc>
          <w:tcPr>
            <w:tcW w:type="dxa" w:w="124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内容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人像/文字/毛发/建筑/天空/霓虹</w:t>
            </w:r>
          </w:p>
        </w:tc>
        <w:tc>
          <w:tcPr>
            <w:tcW w:type="dxa" w:w="248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语义均衡</w:t>
            </w:r>
          </w:p>
        </w:tc>
        <w:tc>
          <w:tcPr>
            <w:tcW w:type="dxa" w:w="266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肤色、细线、周期纹理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温度与器差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不同设备/温度/批次</w:t>
            </w:r>
          </w:p>
        </w:tc>
        <w:tc>
          <w:tcPr>
            <w:tcW w:type="dxa" w:w="248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量产前引入真实分布</w:t>
            </w:r>
          </w:p>
        </w:tc>
        <w:tc>
          <w:tcPr>
            <w:tcW w:type="dxa" w:w="266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热噪声与黑电平漂移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Ground Truth与配对要求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单帧：短曝光/高增益RAW到长曝光低噪RAW，或多帧高质量融合结果；必须进行亚像素对齐和曝光统一。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HDR：真实融合输出到人工确认的高质量融合GT；保留融合confidence、ghost mask和源帧统计。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多摄：每颗Sensor分别采集标定板、灰阶、色卡、纹理和真实场景；GT生成流程保持一致。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合成噪声只用于补充覆盖，噪声模型必须包含shot/read noise、黑电平漂移、行列噪声和色通道相关性。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所有样本保留ISO、模拟/数字增益、曝光时间、WB、CCT、镜头位置、温度、模式、固件版本等元数据。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数据切分与泄漏控制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以设备、场景序列和拍摄session为单位切分，禁止相邻帧跨训练/验证/测试集合。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建立固定Golden Set，量产阶段只增不改；任何模型版本均在同一Golden Set上对比。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测试集至少包含每颗Sensor × 每种模式 × 每个ISO桶的独立样本，输出域级均值、P10和最差案例。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额外建立500–1000组视觉评审集，用于banding、色偏、涂抹、振铃、鬼影和Tile接缝盲测。</w:t>
      </w: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训练与蒸馏方案</w:t>
      </w:r>
    </w:p>
    <w:p>
      <w:pPr>
        <w:spacing w:before="80" w:after="4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806440" cy="2096770"/>
            <wp:docPr id="2" name="Picture 2" title="图2  从Teacher到量产OM的阶段化闭环" descr="图2  从Teacher到量产OM的阶段化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图2  从Teacher到量产OM的阶段化闭环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Teacher训练</w:t>
      </w:r>
    </w:p>
    <w:p>
      <w:pPr>
        <w:numPr>
          <w:ilvl w:val="0"/>
          <w:numId w:val="11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先完成全量多域训练，使Teacher在每颗Sensor和每种模式上稳定收敛。</w:t>
      </w:r>
    </w:p>
    <w:p>
      <w:pPr>
        <w:numPr>
          <w:ilvl w:val="0"/>
          <w:numId w:val="11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采用packed RAW 256/384为常规crop，512为HDR运动与大结构hard crop；所有尺寸为16的倍数。</w:t>
      </w:r>
    </w:p>
    <w:p>
      <w:pPr>
        <w:numPr>
          <w:ilvl w:val="0"/>
          <w:numId w:val="11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使用相机与模式均衡采样器，避免主摄日光样本主导梯度。</w:t>
      </w:r>
    </w:p>
    <w:p>
      <w:pPr>
        <w:numPr>
          <w:ilvl w:val="0"/>
          <w:numId w:val="11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冻结Golden Set并生成Teacher软标签、特征和误差地图，作为Student蒸馏输入。</w:t>
      </w:r>
    </w:p>
    <w:p>
      <w:pPr>
        <w:numPr>
          <w:ilvl w:val="0"/>
          <w:numId w:val="11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Teacher放行后锁定版本；后续Teacher变更必须重新生成蒸馏缓存和回归基线。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Student蒸馏损失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16"/>
        <w:gridCol w:w="1147"/>
        <w:gridCol w:w="2772"/>
        <w:gridCol w:w="3625"/>
      </w:tblGrid>
      <w:tr>
        <w:trPr>
          <w:tblHeader w:val="true"/>
        </w:trPr>
        <w:tc>
          <w:tcPr>
            <w:tcW w:type="dxa" w:w="1816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损失项</w:t>
            </w:r>
          </w:p>
        </w:tc>
        <w:tc>
          <w:tcPr>
            <w:tcW w:type="dxa" w:w="1147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起始权重</w:t>
            </w:r>
          </w:p>
        </w:tc>
        <w:tc>
          <w:tcPr>
            <w:tcW w:type="dxa" w:w="277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作用</w:t>
            </w:r>
          </w:p>
        </w:tc>
        <w:tc>
          <w:tcPr>
            <w:tcW w:type="dxa" w:w="362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注意事项</w:t>
            </w:r>
          </w:p>
        </w:tc>
      </w:tr>
      <w:tr>
        <w:trPr/>
        <w:tc>
          <w:tcPr>
            <w:tcW w:type="dxa" w:w="18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L_charbonnier</w:t>
            </w:r>
          </w:p>
        </w:tc>
        <w:tc>
          <w:tcPr>
            <w:tcW w:type="dxa" w:w="114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1.00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RAW线性域重建</w:t>
            </w:r>
          </w:p>
        </w:tc>
        <w:tc>
          <w:tcPr>
            <w:tcW w:type="dxa" w:w="3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主监督，按有效mask归一</w:t>
            </w:r>
          </w:p>
        </w:tc>
      </w:tr>
      <w:tr>
        <w:trPr/>
        <w:tc>
          <w:tcPr>
            <w:tcW w:type="dxa" w:w="18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L_ms-ssim</w:t>
            </w:r>
          </w:p>
        </w:tc>
        <w:tc>
          <w:tcPr>
            <w:tcW w:type="dxa" w:w="114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0.15</w:t>
            </w:r>
          </w:p>
        </w:tc>
        <w:tc>
          <w:tcPr>
            <w:tcW w:type="dxa" w:w="277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结构与低频一致性</w:t>
            </w:r>
          </w:p>
        </w:tc>
        <w:tc>
          <w:tcPr>
            <w:tcW w:type="dxa" w:w="3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避免权重过高引入平滑</w:t>
            </w:r>
          </w:p>
        </w:tc>
      </w:tr>
      <w:tr>
        <w:trPr/>
        <w:tc>
          <w:tcPr>
            <w:tcW w:type="dxa" w:w="18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L_grad</w:t>
            </w:r>
          </w:p>
        </w:tc>
        <w:tc>
          <w:tcPr>
            <w:tcW w:type="dxa" w:w="114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0.10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边缘/细线</w:t>
            </w:r>
          </w:p>
        </w:tc>
        <w:tc>
          <w:tcPr>
            <w:tcW w:type="dxa" w:w="3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重点保护文字、毛发、建筑线</w:t>
            </w:r>
          </w:p>
        </w:tc>
      </w:tr>
      <w:tr>
        <w:trPr/>
        <w:tc>
          <w:tcPr>
            <w:tcW w:type="dxa" w:w="18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L_fft</w:t>
            </w:r>
          </w:p>
        </w:tc>
        <w:tc>
          <w:tcPr>
            <w:tcW w:type="dxa" w:w="114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0.05</w:t>
            </w:r>
          </w:p>
        </w:tc>
        <w:tc>
          <w:tcPr>
            <w:tcW w:type="dxa" w:w="277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频域纹理与噪声分布</w:t>
            </w:r>
          </w:p>
        </w:tc>
        <w:tc>
          <w:tcPr>
            <w:tcW w:type="dxa" w:w="3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只用于中高频段</w:t>
            </w:r>
          </w:p>
        </w:tc>
      </w:tr>
      <w:tr>
        <w:trPr/>
        <w:tc>
          <w:tcPr>
            <w:tcW w:type="dxa" w:w="18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L_color</w:t>
            </w:r>
          </w:p>
        </w:tc>
        <w:tc>
          <w:tcPr>
            <w:tcW w:type="dxa" w:w="114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0.05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RAW通道比与色偏</w:t>
            </w:r>
          </w:p>
        </w:tc>
        <w:tc>
          <w:tcPr>
            <w:tcW w:type="dxa" w:w="3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需在canonical域定义</w:t>
            </w:r>
          </w:p>
        </w:tc>
      </w:tr>
      <w:tr>
        <w:trPr/>
        <w:tc>
          <w:tcPr>
            <w:tcW w:type="dxa" w:w="18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L_hdr_mask</w:t>
            </w:r>
          </w:p>
        </w:tc>
        <w:tc>
          <w:tcPr>
            <w:tcW w:type="dxa" w:w="114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0.15</w:t>
            </w:r>
          </w:p>
        </w:tc>
        <w:tc>
          <w:tcPr>
            <w:tcW w:type="dxa" w:w="277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高光/暗部/鬼影区域</w:t>
            </w:r>
          </w:p>
        </w:tc>
        <w:tc>
          <w:tcPr>
            <w:tcW w:type="dxa" w:w="3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由confidence和ghost mask加权</w:t>
            </w:r>
          </w:p>
        </w:tc>
      </w:tr>
      <w:tr>
        <w:trPr/>
        <w:tc>
          <w:tcPr>
            <w:tcW w:type="dxa" w:w="18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L_kd_output</w:t>
            </w:r>
          </w:p>
        </w:tc>
        <w:tc>
          <w:tcPr>
            <w:tcW w:type="dxa" w:w="114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0.30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Teacher输出蒸馏</w:t>
            </w:r>
          </w:p>
        </w:tc>
        <w:tc>
          <w:tcPr>
            <w:tcW w:type="dxa" w:w="3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GT与Teacher冲突时以GT为准</w:t>
            </w:r>
          </w:p>
        </w:tc>
      </w:tr>
      <w:tr>
        <w:trPr/>
        <w:tc>
          <w:tcPr>
            <w:tcW w:type="dxa" w:w="18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L_kd_feature</w:t>
            </w:r>
          </w:p>
        </w:tc>
        <w:tc>
          <w:tcPr>
            <w:tcW w:type="dxa" w:w="114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0.10</w:t>
            </w:r>
          </w:p>
        </w:tc>
        <w:tc>
          <w:tcPr>
            <w:tcW w:type="dxa" w:w="277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Enc2/Enc4/Middle/Dec2特征</w:t>
            </w:r>
          </w:p>
        </w:tc>
        <w:tc>
          <w:tcPr>
            <w:tcW w:type="dxa" w:w="3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1×1投影仅训练期保留</w:t>
            </w:r>
          </w:p>
        </w:tc>
      </w:tr>
      <w:tr>
        <w:trPr/>
        <w:tc>
          <w:tcPr>
            <w:tcW w:type="dxa" w:w="18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L_kd_edge</w:t>
            </w:r>
          </w:p>
        </w:tc>
        <w:tc>
          <w:tcPr>
            <w:tcW w:type="dxa" w:w="114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0.05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Teacher边缘与残差</w:t>
            </w:r>
          </w:p>
        </w:tc>
        <w:tc>
          <w:tcPr>
            <w:tcW w:type="dxa" w:w="3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强化极暗光细节</w:t>
            </w:r>
          </w:p>
        </w:tc>
      </w:tr>
    </w:tbl>
    <w:p>
      <w:pPr>
        <w:spacing w:after="40"/>
      </w:pPr>
    </w:p>
    <w:p>
      <w:r>
        <w:rPr>
          <w:rFonts w:ascii="Noto Sans SC Thin" w:hAnsi="Noto Sans SC Thin" w:eastAsia="Noto Sans SC Thin" w:cs="Noto Sans SC Thin"/>
          <w:i w:val="0"/>
          <w:color w:val="172033"/>
        </w:rPr>
        <w:t>起始总损失为上述加权和，实际权重通过验证集网格搜索收敛。HDR低置信度区使用保守残差约束，防止Student把融合错配误增强为高频细节。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L_total = 1.00*L_charbonnier + 0.15*L_ms_ssim + 0.10*L_grad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      + 0.05*L_fft + 0.05*L_color + 0.15*L_hdr_mask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      + 0.30*L_kd_output + 0.10*L_kd_feature + 0.05*L_kd_edge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建议训练节奏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1"/>
        <w:gridCol w:w="2007"/>
        <w:gridCol w:w="1529"/>
        <w:gridCol w:w="1721"/>
        <w:gridCol w:w="3052"/>
      </w:tblGrid>
      <w:tr>
        <w:trPr>
          <w:tblHeader w:val="true"/>
        </w:trPr>
        <w:tc>
          <w:tcPr>
            <w:tcW w:type="dxa" w:w="1051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2007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训练对象</w:t>
            </w:r>
          </w:p>
        </w:tc>
        <w:tc>
          <w:tcPr>
            <w:tcW w:type="dxa" w:w="1529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建议步数</w:t>
            </w:r>
          </w:p>
        </w:tc>
        <w:tc>
          <w:tcPr>
            <w:tcW w:type="dxa" w:w="1721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学习率起点</w:t>
            </w:r>
          </w:p>
        </w:tc>
        <w:tc>
          <w:tcPr>
            <w:tcW w:type="dxa" w:w="305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退出条件</w:t>
            </w:r>
          </w:p>
        </w:tc>
      </w:tr>
      <w:tr>
        <w:trPr/>
        <w:tc>
          <w:tcPr>
            <w:tcW w:type="dxa" w:w="10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T0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Teacher-64</w:t>
            </w:r>
          </w:p>
        </w:tc>
        <w:tc>
          <w:tcPr>
            <w:tcW w:type="dxa" w:w="152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800k–1.2M</w:t>
            </w:r>
          </w:p>
        </w:tc>
        <w:tc>
          <w:tcPr>
            <w:tcW w:type="dxa" w:w="172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2e-4 cosine</w:t>
            </w:r>
          </w:p>
        </w:tc>
        <w:tc>
          <w:tcPr>
            <w:tcW w:type="dxa" w:w="305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全域收敛，连续3次评测无提升</w:t>
            </w:r>
          </w:p>
        </w:tc>
      </w:tr>
      <w:tr>
        <w:trPr/>
        <w:tc>
          <w:tcPr>
            <w:tcW w:type="dxa" w:w="105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S0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Student-32 GT预热</w:t>
            </w:r>
          </w:p>
        </w:tc>
        <w:tc>
          <w:tcPr>
            <w:tcW w:type="dxa" w:w="152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100k–200k</w:t>
            </w:r>
          </w:p>
        </w:tc>
        <w:tc>
          <w:tcPr>
            <w:tcW w:type="dxa" w:w="172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2e-4</w:t>
            </w:r>
          </w:p>
        </w:tc>
        <w:tc>
          <w:tcPr>
            <w:tcW w:type="dxa" w:w="305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基础重建稳定</w:t>
            </w:r>
          </w:p>
        </w:tc>
      </w:tr>
      <w:tr>
        <w:trPr/>
        <w:tc>
          <w:tcPr>
            <w:tcW w:type="dxa" w:w="10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S1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Student完整蒸馏</w:t>
            </w:r>
          </w:p>
        </w:tc>
        <w:tc>
          <w:tcPr>
            <w:tcW w:type="dxa" w:w="152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500k–800k</w:t>
            </w:r>
          </w:p>
        </w:tc>
        <w:tc>
          <w:tcPr>
            <w:tcW w:type="dxa" w:w="172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1e-4 cosine</w:t>
            </w:r>
          </w:p>
        </w:tc>
        <w:tc>
          <w:tcPr>
            <w:tcW w:type="dxa" w:w="305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与Teacher差距进入目标区</w:t>
            </w:r>
          </w:p>
        </w:tc>
      </w:tr>
      <w:tr>
        <w:trPr/>
        <w:tc>
          <w:tcPr>
            <w:tcW w:type="dxa" w:w="105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P1–P3</w:t>
            </w:r>
          </w:p>
        </w:tc>
        <w:tc>
          <w:tcPr>
            <w:tcW w:type="dxa" w:w="2007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剪枝恢复</w:t>
            </w:r>
          </w:p>
        </w:tc>
        <w:tc>
          <w:tcPr>
            <w:tcW w:type="dxa" w:w="152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每轮50k–120k</w:t>
            </w:r>
          </w:p>
        </w:tc>
        <w:tc>
          <w:tcPr>
            <w:tcW w:type="dxa" w:w="172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2e-5–5e-5</w:t>
            </w:r>
          </w:p>
        </w:tc>
        <w:tc>
          <w:tcPr>
            <w:tcW w:type="dxa" w:w="305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画质恢复并通过域级门限</w:t>
            </w:r>
          </w:p>
        </w:tc>
      </w:tr>
      <w:tr>
        <w:trPr/>
        <w:tc>
          <w:tcPr>
            <w:tcW w:type="dxa" w:w="105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Q1</w:t>
            </w:r>
          </w:p>
        </w:tc>
        <w:tc>
          <w:tcPr>
            <w:tcW w:type="dxa" w:w="2007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QAT</w:t>
            </w:r>
          </w:p>
        </w:tc>
        <w:tc>
          <w:tcPr>
            <w:tcW w:type="dxa" w:w="152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80k–150k</w:t>
            </w:r>
          </w:p>
        </w:tc>
        <w:tc>
          <w:tcPr>
            <w:tcW w:type="dxa" w:w="172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1e-5–2e-5</w:t>
            </w:r>
          </w:p>
        </w:tc>
        <w:tc>
          <w:tcPr>
            <w:tcW w:type="dxa" w:w="305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量化损失稳定≤0.08dB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E8EEF5" w:val="clear"/>
            <w:tcBorders>
              <w:top w:val="single" w:sz="4" w:space="0" w:color="D8DEE8"/>
              <w:left w:val="single" w:sz="22" w:space="0" w:color="17365D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</w:rPr>
              <w:t>执行口径：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步数是工程起点，不是固定承诺。最终以总batch、数据规模和全域验证曲线为准；任何阶段不得只看总体loss结束训练。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约15%结构化剪枝方案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剪枝口径与目标参数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剪枝率按原生Student物理参数量计算。以14.347M为基线，15%目标对应约12.195M骨干参数。16通道Intro相对4通道仅增加约3.5k参数，camera embedding以输入平面实现，无独立大适配器，因此最终总量建议控制在12.1–12.4M，中心约12.2M，并允许因16通道对齐在14%–16%范围内波动。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EAF5EF" w:val="clear"/>
            <w:tcBorders>
              <w:top w:val="single" w:sz="4" w:space="0" w:color="D8DEE8"/>
              <w:left w:val="single" w:sz="22" w:space="0" w:color="2F6B4F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2F6B4F"/>
              </w:rPr>
              <w:t>关键公式：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目标参数量 = 14.347M × (1 − 15%) ≈ 12.195M。若不可剪接口层约1.4M，则NAFBlock内部参数实际需要削减约16%–17%，不是简单把每层通道统一减15%。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可剪与不可剪结构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4"/>
        <w:gridCol w:w="4760"/>
        <w:gridCol w:w="3166"/>
      </w:tblGrid>
      <w:tr>
        <w:trPr>
          <w:tblHeader w:val="true"/>
        </w:trPr>
        <w:tc>
          <w:tcPr>
            <w:tcW w:type="dxa" w:w="143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476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结构</w:t>
            </w:r>
          </w:p>
        </w:tc>
        <w:tc>
          <w:tcPr>
            <w:tcW w:type="dxa" w:w="3166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处理</w:t>
            </w:r>
          </w:p>
        </w:tc>
      </w:tr>
      <w:tr>
        <w:trPr/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保持</w:t>
            </w:r>
          </w:p>
        </w:tc>
        <w:tc>
          <w:tcPr>
            <w:tcW w:type="dxa" w:w="47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各Stage主通道32→64→128→256→512</w:t>
            </w:r>
          </w:p>
        </w:tc>
        <w:tc>
          <w:tcPr>
            <w:tcW w:type="dxa" w:w="316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完全冻结</w:t>
            </w:r>
          </w:p>
        </w:tc>
      </w:tr>
      <w:tr>
        <w:trPr/>
        <w:tc>
          <w:tcPr>
            <w:tcW w:type="dxa" w:w="143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保持</w:t>
            </w:r>
          </w:p>
        </w:tc>
        <w:tc>
          <w:tcPr>
            <w:tcW w:type="dxa" w:w="47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Enc/Dec Block数量与Middle Block数量</w:t>
            </w:r>
          </w:p>
        </w:tc>
        <w:tc>
          <w:tcPr>
            <w:tcW w:type="dxa" w:w="316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完全冻结</w:t>
            </w:r>
          </w:p>
        </w:tc>
      </w:tr>
      <w:tr>
        <w:trPr/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保持</w:t>
            </w:r>
          </w:p>
        </w:tc>
        <w:tc>
          <w:tcPr>
            <w:tcW w:type="dxa" w:w="47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Intro/Ending、Down/Up、Skip、残差I/O</w:t>
            </w:r>
          </w:p>
        </w:tc>
        <w:tc>
          <w:tcPr>
            <w:tcW w:type="dxa" w:w="316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完全冻结</w:t>
            </w:r>
          </w:p>
        </w:tc>
      </w:tr>
      <w:tr>
        <w:trPr/>
        <w:tc>
          <w:tcPr>
            <w:tcW w:type="dxa" w:w="143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联动剪枝</w:t>
            </w:r>
          </w:p>
        </w:tc>
        <w:tc>
          <w:tcPr>
            <w:tcW w:type="dxa" w:w="47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conv1扩展、Depthwise、SimpleGate配对、SCA、conv3输入</w:t>
            </w:r>
          </w:p>
        </w:tc>
        <w:tc>
          <w:tcPr>
            <w:tcW w:type="dxa" w:w="316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同一group同步裁剪</w:t>
            </w:r>
          </w:p>
        </w:tc>
      </w:tr>
      <w:tr>
        <w:trPr/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联动剪枝</w:t>
            </w:r>
          </w:p>
        </w:tc>
        <w:tc>
          <w:tcPr>
            <w:tcW w:type="dxa" w:w="47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conv4扩展、SimpleGate配对、conv5输入</w:t>
            </w:r>
          </w:p>
        </w:tc>
        <w:tc>
          <w:tcPr>
            <w:tcW w:type="dxa" w:w="316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同一group同步裁剪</w:t>
            </w:r>
          </w:p>
        </w:tc>
      </w:tr>
      <w:tr>
        <w:trPr/>
        <w:tc>
          <w:tcPr>
            <w:tcW w:type="dxa" w:w="143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保留标量</w:t>
            </w:r>
          </w:p>
        </w:tc>
        <w:tc>
          <w:tcPr>
            <w:tcW w:type="dxa" w:w="47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beta、gamma与LayerNorm接口</w:t>
            </w:r>
          </w:p>
        </w:tc>
        <w:tc>
          <w:tcPr>
            <w:tcW w:type="dxa" w:w="316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不剪，仅继续训练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推荐Stage分配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以下是首个可执行结构模板。K表示SimpleGate后的隐藏通道；Gate前通道为2K。全部按16通道对齐，必要时以单个16通道group微调最终参数量。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60"/>
        <w:gridCol w:w="1004"/>
        <w:gridCol w:w="860"/>
        <w:gridCol w:w="1004"/>
        <w:gridCol w:w="1482"/>
        <w:gridCol w:w="3050"/>
      </w:tblGrid>
      <w:tr>
        <w:trPr>
          <w:tblHeader w:val="true"/>
        </w:trPr>
        <w:tc>
          <w:tcPr>
            <w:tcW w:type="dxa" w:w="196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区域</w:t>
            </w:r>
          </w:p>
        </w:tc>
        <w:tc>
          <w:tcPr>
            <w:tcW w:type="dxa" w:w="100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主通道C</w:t>
            </w:r>
          </w:p>
        </w:tc>
        <w:tc>
          <w:tcPr>
            <w:tcW w:type="dxa" w:w="86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原K</w:t>
            </w:r>
          </w:p>
        </w:tc>
        <w:tc>
          <w:tcPr>
            <w:tcW w:type="dxa" w:w="100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建议K</w:t>
            </w:r>
          </w:p>
        </w:tc>
        <w:tc>
          <w:tcPr>
            <w:tcW w:type="dxa" w:w="148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隐藏通道削减</w:t>
            </w:r>
          </w:p>
        </w:tc>
        <w:tc>
          <w:tcPr>
            <w:tcW w:type="dxa" w:w="305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策略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Encoder Stage 1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32</w:t>
            </w:r>
          </w:p>
        </w:tc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32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32</w:t>
            </w:r>
          </w:p>
        </w:tc>
        <w:tc>
          <w:tcPr>
            <w:tcW w:type="dxa" w:w="1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0%</w:t>
            </w:r>
          </w:p>
        </w:tc>
        <w:tc>
          <w:tcPr>
            <w:tcW w:type="dxa" w:w="305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保护RAW基础颜色/边缘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Encoder Stage 2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</w:t>
            </w:r>
          </w:p>
        </w:tc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</w:t>
            </w:r>
          </w:p>
        </w:tc>
        <w:tc>
          <w:tcPr>
            <w:tcW w:type="dxa" w:w="1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0%</w:t>
            </w:r>
          </w:p>
        </w:tc>
        <w:tc>
          <w:tcPr>
            <w:tcW w:type="dxa" w:w="305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保护多摄浅层域特征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Encoder Stage 3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128</w:t>
            </w:r>
          </w:p>
        </w:tc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128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112</w:t>
            </w:r>
          </w:p>
        </w:tc>
        <w:tc>
          <w:tcPr>
            <w:tcW w:type="dxa" w:w="1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12.5%</w:t>
            </w:r>
          </w:p>
        </w:tc>
        <w:tc>
          <w:tcPr>
            <w:tcW w:type="dxa" w:w="305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温和压缩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Encoder Stage 4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256</w:t>
            </w:r>
          </w:p>
        </w:tc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256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224</w:t>
            </w:r>
          </w:p>
        </w:tc>
        <w:tc>
          <w:tcPr>
            <w:tcW w:type="dxa" w:w="1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12.5%</w:t>
            </w:r>
          </w:p>
        </w:tc>
        <w:tc>
          <w:tcPr>
            <w:tcW w:type="dxa" w:w="305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主要压缩区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Middle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512</w:t>
            </w:r>
          </w:p>
        </w:tc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512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400</w:t>
            </w:r>
          </w:p>
        </w:tc>
        <w:tc>
          <w:tcPr>
            <w:tcW w:type="dxa" w:w="1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21.9%</w:t>
            </w:r>
          </w:p>
        </w:tc>
        <w:tc>
          <w:tcPr>
            <w:tcW w:type="dxa" w:w="305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参数主压缩区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Decoder深层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256</w:t>
            </w:r>
          </w:p>
        </w:tc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256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224</w:t>
            </w:r>
          </w:p>
        </w:tc>
        <w:tc>
          <w:tcPr>
            <w:tcW w:type="dxa" w:w="1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12.5%</w:t>
            </w:r>
          </w:p>
        </w:tc>
        <w:tc>
          <w:tcPr>
            <w:tcW w:type="dxa" w:w="305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保留重建余量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Decoder中层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128</w:t>
            </w:r>
          </w:p>
        </w:tc>
        <w:tc>
          <w:tcPr>
            <w:tcW w:type="dxa" w:w="8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128</w:t>
            </w:r>
          </w:p>
        </w:tc>
        <w:tc>
          <w:tcPr>
            <w:tcW w:type="dxa" w:w="100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112</w:t>
            </w:r>
          </w:p>
        </w:tc>
        <w:tc>
          <w:tcPr>
            <w:tcW w:type="dxa" w:w="1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12.5%</w:t>
            </w:r>
          </w:p>
        </w:tc>
        <w:tc>
          <w:tcPr>
            <w:tcW w:type="dxa" w:w="305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根据P2敏感度确认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Decoder浅层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64/32</w:t>
            </w:r>
          </w:p>
        </w:tc>
        <w:tc>
          <w:tcPr>
            <w:tcW w:type="dxa" w:w="8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64/32</w:t>
            </w:r>
          </w:p>
        </w:tc>
        <w:tc>
          <w:tcPr>
            <w:tcW w:type="dxa" w:w="100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64/32</w:t>
            </w:r>
          </w:p>
        </w:tc>
        <w:tc>
          <w:tcPr>
            <w:tcW w:type="dxa" w:w="1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0%</w:t>
            </w:r>
          </w:p>
        </w:tc>
        <w:tc>
          <w:tcPr>
            <w:tcW w:type="dxa" w:w="305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保护输出与细线</w:t>
            </w:r>
          </w:p>
        </w:tc>
      </w:tr>
    </w:tbl>
    <w:p>
      <w:pPr>
        <w:spacing w:after="40"/>
      </w:pPr>
    </w:p>
    <w:p>
      <w:r>
        <w:rPr>
          <w:rFonts w:ascii="Noto Sans SC Thin" w:hAnsi="Noto Sans SC Thin" w:eastAsia="Noto Sans SC Thin" w:cs="Noto Sans SC Thin"/>
          <w:i w:val="0"/>
          <w:color w:val="172033"/>
        </w:rPr>
        <w:t>该模板预计落在全模型约15%附近。最终值必须由重构后的model summary确认；若超过16%，优先把Decoder中层或部分Middle group恢复16通道，而不是破坏浅层与输出侧。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通道重要性与域保护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group_score = 0.55 * mean_domain(|w * grad|)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          + 0.25 * P90_domain(|w * grad|)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          + 0.20 * normalized_L2(group)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约束：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1) SimpleGate两半成对；DW/SCA/前后1×1索引同步。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2) 分域计算score，避免长焦/HDR尾部被总体均值剪掉。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3) 只允许按16通道group物理删除并重建state_dict与计算图。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分阶段执行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95"/>
        <w:gridCol w:w="1864"/>
        <w:gridCol w:w="1864"/>
        <w:gridCol w:w="1721"/>
        <w:gridCol w:w="2716"/>
      </w:tblGrid>
      <w:tr>
        <w:trPr>
          <w:tblHeader w:val="true"/>
        </w:trPr>
        <w:tc>
          <w:tcPr>
            <w:tcW w:type="dxa" w:w="119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检查点</w:t>
            </w:r>
          </w:p>
        </w:tc>
        <w:tc>
          <w:tcPr>
            <w:tcW w:type="dxa" w:w="186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累计全模型剪枝</w:t>
            </w:r>
          </w:p>
        </w:tc>
        <w:tc>
          <w:tcPr>
            <w:tcW w:type="dxa" w:w="186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目标参数量</w:t>
            </w:r>
          </w:p>
        </w:tc>
        <w:tc>
          <w:tcPr>
            <w:tcW w:type="dxa" w:w="1721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恢复训练</w:t>
            </w:r>
          </w:p>
        </w:tc>
        <w:tc>
          <w:tcPr>
            <w:tcW w:type="dxa" w:w="2716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Gate</w:t>
            </w:r>
          </w:p>
        </w:tc>
      </w:tr>
      <w:tr>
        <w:trPr/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P0</w:t>
            </w:r>
          </w:p>
        </w:tc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0%</w:t>
            </w:r>
          </w:p>
        </w:tc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14.35M</w:t>
            </w:r>
          </w:p>
        </w:tc>
        <w:tc>
          <w:tcPr>
            <w:tcW w:type="dxa" w:w="172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Student充分蒸馏</w:t>
            </w:r>
          </w:p>
        </w:tc>
        <w:tc>
          <w:tcPr>
            <w:tcW w:type="dxa" w:w="27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建立FP32基线</w:t>
            </w:r>
          </w:p>
        </w:tc>
      </w:tr>
      <w:tr>
        <w:trPr/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P1</w:t>
            </w:r>
          </w:p>
        </w:tc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约5%</w:t>
            </w:r>
          </w:p>
        </w:tc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约13.63M</w:t>
            </w:r>
          </w:p>
        </w:tc>
        <w:tc>
          <w:tcPr>
            <w:tcW w:type="dxa" w:w="172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50k–80k</w:t>
            </w:r>
          </w:p>
        </w:tc>
        <w:tc>
          <w:tcPr>
            <w:tcW w:type="dxa" w:w="27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全域ΔPSNR≤0.04dB</w:t>
            </w:r>
          </w:p>
        </w:tc>
      </w:tr>
      <w:tr>
        <w:trPr/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P2</w:t>
            </w:r>
          </w:p>
        </w:tc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约10%</w:t>
            </w:r>
          </w:p>
        </w:tc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约12.91M</w:t>
            </w:r>
          </w:p>
        </w:tc>
        <w:tc>
          <w:tcPr>
            <w:tcW w:type="dxa" w:w="172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60k–100k</w:t>
            </w:r>
          </w:p>
        </w:tc>
        <w:tc>
          <w:tcPr>
            <w:tcW w:type="dxa" w:w="271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全域ΔPSNR≤0.08dB</w:t>
            </w:r>
          </w:p>
        </w:tc>
      </w:tr>
      <w:tr>
        <w:trPr/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P3</w:t>
            </w:r>
          </w:p>
        </w:tc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14%–16%</w:t>
            </w:r>
          </w:p>
        </w:tc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12.1–12.4M骨干</w:t>
            </w:r>
          </w:p>
        </w:tc>
        <w:tc>
          <w:tcPr>
            <w:tcW w:type="dxa" w:w="172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80k–120k</w:t>
            </w:r>
          </w:p>
        </w:tc>
        <w:tc>
          <w:tcPr>
            <w:tcW w:type="dxa" w:w="271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最终剪枝ΔPSNR≤0.10dB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FCEBEC" w:val="clear"/>
            <w:tcBorders>
              <w:top w:val="single" w:sz="4" w:space="0" w:color="D8DEE8"/>
              <w:left w:val="single" w:sz="22" w:space="0" w:color="9B1C1C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9B1C1C"/>
              </w:rPr>
              <w:t>停止规则：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若任一Sensor/模式在P2或P3出现PSNR下降&gt;0.10dB、HDR运动鬼影显著恶化、暗部涂抹或通道对齐后实机时延无收益，停止继续剪枝并回退上一checkpoint。15%是目标中心，不是压过画质拐点的硬指标。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QAT INT8方案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量化边界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60"/>
        <w:gridCol w:w="1482"/>
        <w:gridCol w:w="2868"/>
        <w:gridCol w:w="3050"/>
      </w:tblGrid>
      <w:tr>
        <w:trPr>
          <w:tblHeader w:val="true"/>
        </w:trPr>
        <w:tc>
          <w:tcPr>
            <w:tcW w:type="dxa" w:w="196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148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建议精度</w:t>
            </w:r>
          </w:p>
        </w:tc>
        <w:tc>
          <w:tcPr>
            <w:tcW w:type="dxa" w:w="2868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原因</w:t>
            </w:r>
          </w:p>
        </w:tc>
        <w:tc>
          <w:tcPr>
            <w:tcW w:type="dxa" w:w="305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量产要求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输入规范化/RAW输入</w:t>
            </w:r>
          </w:p>
        </w:tc>
        <w:tc>
          <w:tcPr>
            <w:tcW w:type="dxa" w:w="1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FP16</w:t>
            </w:r>
          </w:p>
        </w:tc>
        <w:tc>
          <w:tcPr>
            <w:tcW w:type="dxa" w:w="286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保护12/14-bit弱信号</w:t>
            </w:r>
          </w:p>
        </w:tc>
        <w:tc>
          <w:tcPr>
            <w:tcW w:type="dxa" w:w="305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不得提前压成8-bit图像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Intro</w:t>
            </w:r>
          </w:p>
        </w:tc>
        <w:tc>
          <w:tcPr>
            <w:tcW w:type="dxa" w:w="1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INT8优先，FP16备选</w:t>
            </w:r>
          </w:p>
        </w:tc>
        <w:tc>
          <w:tcPr>
            <w:tcW w:type="dxa" w:w="286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首层对量化敏感</w:t>
            </w:r>
          </w:p>
        </w:tc>
        <w:tc>
          <w:tcPr>
            <w:tcW w:type="dxa" w:w="305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由A/B画质决定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NAFBlock主卷积</w:t>
            </w:r>
          </w:p>
        </w:tc>
        <w:tc>
          <w:tcPr>
            <w:tcW w:type="dxa" w:w="1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INT8</w:t>
            </w:r>
          </w:p>
        </w:tc>
        <w:tc>
          <w:tcPr>
            <w:tcW w:type="dxa" w:w="286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主要计算量</w:t>
            </w:r>
          </w:p>
        </w:tc>
        <w:tc>
          <w:tcPr>
            <w:tcW w:type="dxa" w:w="305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权重per-channel优先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LayerNorm/敏感逐元素算子</w:t>
            </w:r>
          </w:p>
        </w:tc>
        <w:tc>
          <w:tcPr>
            <w:tcW w:type="dxa" w:w="1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INT8或FP16</w:t>
            </w:r>
          </w:p>
        </w:tc>
        <w:tc>
          <w:tcPr>
            <w:tcW w:type="dxa" w:w="286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依编译器支持</w:t>
            </w:r>
          </w:p>
        </w:tc>
        <w:tc>
          <w:tcPr>
            <w:tcW w:type="dxa" w:w="305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回退计算量≤5%</w:t>
            </w:r>
          </w:p>
        </w:tc>
      </w:tr>
      <w:tr>
        <w:trPr/>
        <w:tc>
          <w:tcPr>
            <w:tcW w:type="dxa" w:w="196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Ending与残差合成</w:t>
            </w:r>
          </w:p>
        </w:tc>
        <w:tc>
          <w:tcPr>
            <w:tcW w:type="dxa" w:w="148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FP16优先</w:t>
            </w:r>
          </w:p>
        </w:tc>
        <w:tc>
          <w:tcPr>
            <w:tcW w:type="dxa" w:w="286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避免banding和clip误差</w:t>
            </w:r>
          </w:p>
        </w:tc>
        <w:tc>
          <w:tcPr>
            <w:tcW w:type="dxa" w:w="305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输出精度优先</w:t>
            </w:r>
          </w:p>
        </w:tc>
      </w:tr>
      <w:tr>
        <w:trPr/>
        <w:tc>
          <w:tcPr>
            <w:tcW w:type="dxa" w:w="196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模型输出</w:t>
            </w:r>
          </w:p>
        </w:tc>
        <w:tc>
          <w:tcPr>
            <w:tcW w:type="dxa" w:w="148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FP16</w:t>
            </w:r>
          </w:p>
        </w:tc>
        <w:tc>
          <w:tcPr>
            <w:tcW w:type="dxa" w:w="286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交付后续ISP</w:t>
            </w:r>
          </w:p>
        </w:tc>
        <w:tc>
          <w:tcPr>
            <w:tcW w:type="dxa" w:w="305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保留线性RAW动态范围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QAT执行步骤</w:t>
      </w:r>
    </w:p>
    <w:p>
      <w:pPr>
        <w:numPr>
          <w:ilvl w:val="0"/>
          <w:numId w:val="13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先做PTQ可行性扫描，生成算子敏感度报告；PTQ只用于定位，不作为最终商业版本。</w:t>
      </w:r>
    </w:p>
    <w:p>
      <w:pPr>
        <w:numPr>
          <w:ilvl w:val="0"/>
          <w:numId w:val="13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插入fake-quant后先冻结量化范围10k–20k步，只更新权重；再解冻observer进行短周期联合收敛。</w:t>
      </w:r>
    </w:p>
    <w:p>
      <w:pPr>
        <w:numPr>
          <w:ilvl w:val="0"/>
          <w:numId w:val="13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使用5k–10k个balanced tiles校准，覆盖全部Sensor、模式、ISO、运动等级和极端高光。</w:t>
      </w:r>
    </w:p>
    <w:p>
      <w:pPr>
        <w:numPr>
          <w:ilvl w:val="0"/>
          <w:numId w:val="13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权重采用对称per-channel INT8；Activation按目标CANN支持选择per-tensor或per-channel，禁止在未验证时假设。</w:t>
      </w:r>
    </w:p>
    <w:p>
      <w:pPr>
        <w:numPr>
          <w:ilvl w:val="0"/>
          <w:numId w:val="13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残差相加两支必须校准到兼容scale，避免编译器插入大量Requant/FP16回退。</w:t>
      </w:r>
    </w:p>
    <w:p>
      <w:pPr>
        <w:numPr>
          <w:ilvl w:val="0"/>
          <w:numId w:val="13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QAT期间继续保留Teacher输出蒸馏，但把L_kd_output降至0.10–0.20，防止量化噪声放大暗部纹理损失。</w:t>
      </w:r>
    </w:p>
    <w:p>
      <w:pPr>
        <w:numPr>
          <w:ilvl w:val="0"/>
          <w:numId w:val="13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每次OM转换后反查算子落点、FP16回退、插入的Cast/Requant和实际Profiler，而非只验证转换成功。</w:t>
      </w: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麒麟9000部署与ISP集成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导出与编译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PyTorch QAT checkpoint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→ prune-graph consistency check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→ ONNX opset (按目标转换器支持固定)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→ ONNX shape/operator/value-range validation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→ ATC/CANN转换为OM（静态N=1、固定Tile H/W）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→ Model runner逐层/端到端一致性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→ 麒麟9000真实设备Profiler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导出前执行PyTorch与ONNX随机输入、Golden tiles、极值输入三类一致性测试。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所有输入/输出名称、shape、dtype、scale和metadata版本写入model_manifest.json。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OM编译参数与CANN/驱动/固件版本锁定；升级任一组件必须触发完整性能与画质回归。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保留FP32、剪枝FP32、QAT PyTorch、ONNX和OM五级对照输出，便于定位误差来自哪一阶段。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Tile推理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建议以packed RAW 512×512、halo 48作为第一实机候选，同时保留384和640两档进行Profiler。Tile尺寸必须为16的倍数；halo建议在32–64 packed pixels内通过接缝与时延A/B确定。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38"/>
        <w:gridCol w:w="1434"/>
        <w:gridCol w:w="1434"/>
        <w:gridCol w:w="2581"/>
        <w:gridCol w:w="2573"/>
      </w:tblGrid>
      <w:tr>
        <w:trPr>
          <w:tblHeader w:val="true"/>
        </w:trPr>
        <w:tc>
          <w:tcPr>
            <w:tcW w:type="dxa" w:w="1338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候选</w:t>
            </w:r>
          </w:p>
        </w:tc>
        <w:tc>
          <w:tcPr>
            <w:tcW w:type="dxa" w:w="143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Tile</w:t>
            </w:r>
          </w:p>
        </w:tc>
        <w:tc>
          <w:tcPr>
            <w:tcW w:type="dxa" w:w="143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Halo起点</w:t>
            </w:r>
          </w:p>
        </w:tc>
        <w:tc>
          <w:tcPr>
            <w:tcW w:type="dxa" w:w="2581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优点</w:t>
            </w:r>
          </w:p>
        </w:tc>
        <w:tc>
          <w:tcPr>
            <w:tcW w:type="dxa" w:w="257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风险/用途</w:t>
            </w:r>
          </w:p>
        </w:tc>
      </w:tr>
      <w:tr>
        <w:trPr/>
        <w:tc>
          <w:tcPr>
            <w:tcW w:type="dxa" w:w="133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Fallback</w:t>
            </w:r>
          </w:p>
        </w:tc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384×384</w:t>
            </w:r>
          </w:p>
        </w:tc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48</w:t>
            </w:r>
          </w:p>
        </w:tc>
        <w:tc>
          <w:tcPr>
            <w:tcW w:type="dxa" w:w="258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峰值内存低</w:t>
            </w:r>
          </w:p>
        </w:tc>
        <w:tc>
          <w:tcPr>
            <w:tcW w:type="dxa" w:w="257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Tile数量多、调度开销高</w:t>
            </w:r>
          </w:p>
        </w:tc>
      </w:tr>
      <w:tr>
        <w:trPr/>
        <w:tc>
          <w:tcPr>
            <w:tcW w:type="dxa" w:w="133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Primary</w:t>
            </w:r>
          </w:p>
        </w:tc>
        <w:tc>
          <w:tcPr>
            <w:tcW w:type="dxa" w:w="143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512×512</w:t>
            </w:r>
          </w:p>
        </w:tc>
        <w:tc>
          <w:tcPr>
            <w:tcW w:type="dxa" w:w="143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48</w:t>
            </w:r>
          </w:p>
        </w:tc>
        <w:tc>
          <w:tcPr>
            <w:tcW w:type="dxa" w:w="2581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内存/调度平衡</w:t>
            </w:r>
          </w:p>
        </w:tc>
        <w:tc>
          <w:tcPr>
            <w:tcW w:type="dxa" w:w="257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首选量产基准</w:t>
            </w:r>
          </w:p>
        </w:tc>
      </w:tr>
      <w:tr>
        <w:trPr/>
        <w:tc>
          <w:tcPr>
            <w:tcW w:type="dxa" w:w="133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Throughput</w:t>
            </w:r>
          </w:p>
        </w:tc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640×640</w:t>
            </w:r>
          </w:p>
        </w:tc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64</w:t>
            </w:r>
          </w:p>
        </w:tc>
        <w:tc>
          <w:tcPr>
            <w:tcW w:type="dxa" w:w="2581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Tile数量少</w:t>
            </w:r>
          </w:p>
        </w:tc>
        <w:tc>
          <w:tcPr>
            <w:tcW w:type="dxa" w:w="257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峰值激活与带宽更高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采用重叠Tile和二维Hann/线性权重融合，禁止简单硬拼接。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Pad区域由valid mask显式标记，避免边界假纹理进入结果。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Tile只降低峰值内存，不降低总MACs；性能收益必须以整帧端到端统计。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所有Sensor分辨率共享同一Primary OM，通过Pad与Tile调度适配；只有Profiler证明必要时才增加第二个静态shape OM。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资源调度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25"/>
        <w:gridCol w:w="4015"/>
        <w:gridCol w:w="3720"/>
      </w:tblGrid>
      <w:tr>
        <w:trPr>
          <w:tblHeader w:val="true"/>
        </w:trPr>
        <w:tc>
          <w:tcPr>
            <w:tcW w:type="dxa" w:w="162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时段</w:t>
            </w:r>
          </w:p>
        </w:tc>
        <w:tc>
          <w:tcPr>
            <w:tcW w:type="dxa" w:w="401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资源策略</w:t>
            </w:r>
          </w:p>
        </w:tc>
        <w:tc>
          <w:tcPr>
            <w:tcW w:type="dxa" w:w="372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必须满足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HDR/MFNR融合</w:t>
            </w:r>
          </w:p>
        </w:tc>
        <w:tc>
          <w:tcPr>
            <w:tcW w:type="dxa" w:w="401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NPU/DDR优先融合；AI不抢占峰值</w:t>
            </w:r>
          </w:p>
        </w:tc>
        <w:tc>
          <w:tcPr>
            <w:tcW w:type="dxa" w:w="372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输出单帧RAW、confidence、ghost mask</w:t>
            </w:r>
          </w:p>
        </w:tc>
      </w:tr>
      <w:tr>
        <w:trPr/>
        <w:tc>
          <w:tcPr>
            <w:tcW w:type="dxa" w:w="1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缓存释放</w:t>
            </w:r>
          </w:p>
        </w:tc>
        <w:tc>
          <w:tcPr>
            <w:tcW w:type="dxa" w:w="401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释放/复用源帧与金字塔缓存</w:t>
            </w:r>
          </w:p>
        </w:tc>
        <w:tc>
          <w:tcPr>
            <w:tcW w:type="dxa" w:w="372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AI峰值不与融合峰值长期叠加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AI推理</w:t>
            </w:r>
          </w:p>
        </w:tc>
        <w:tc>
          <w:tcPr>
            <w:tcW w:type="dxa" w:w="401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NPU串行Tile；CPU只做轻量上下文构建</w:t>
            </w:r>
          </w:p>
        </w:tc>
        <w:tc>
          <w:tcPr>
            <w:tcW w:type="dxa" w:w="372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P90/P99与功耗达标</w:t>
            </w:r>
          </w:p>
        </w:tc>
      </w:tr>
      <w:tr>
        <w:trPr/>
        <w:tc>
          <w:tcPr>
            <w:tcW w:type="dxa" w:w="162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后续ISP/编码</w:t>
            </w:r>
          </w:p>
        </w:tc>
        <w:tc>
          <w:tcPr>
            <w:tcW w:type="dxa" w:w="401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错峰JPEG/HEIF峰值</w:t>
            </w:r>
          </w:p>
        </w:tc>
        <w:tc>
          <w:tcPr>
            <w:tcW w:type="dxa" w:w="372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不得扩大用户可感知等待</w:t>
            </w:r>
          </w:p>
        </w:tc>
      </w:tr>
      <w:tr>
        <w:trPr/>
        <w:tc>
          <w:tcPr>
            <w:tcW w:type="dxa" w:w="162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连拍</w:t>
            </w:r>
          </w:p>
        </w:tc>
        <w:tc>
          <w:tcPr>
            <w:tcW w:type="dxa" w:w="401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仅对选中帧运行Main；必要时调用Lite路径</w:t>
            </w:r>
          </w:p>
        </w:tc>
        <w:tc>
          <w:tcPr>
            <w:tcW w:type="dxa" w:w="372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持续吞吐和热稳定优先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运行时接口建议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EnhanceRequest 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raw_ptr, raw_stride, raw_width, raw_height, bit_depth,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sensor_id, cfa_pattern, black_level[4], white_level,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analog_gain, digital_gain, exposure_time, wb_rg, wb_bg,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mode_id, fusion_confidence_ptr, motion_ghost_ptr,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calib_version, model_version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EnhanceResult 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enhanced_raw_ptr, output_stride,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runtime_ms, peak_memory_mb, tile_count,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model_version, calib_version, fallback_reason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FCEBEC" w:val="clear"/>
            <w:tcBorders>
              <w:top w:val="single" w:sz="4" w:space="0" w:color="D8DEE8"/>
              <w:left w:val="single" w:sz="22" w:space="0" w:color="9B1C1C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9B1C1C"/>
              </w:rPr>
              <w:t>故障回退：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模型加载失败、metadata版本不匹配、输入异常、NPU超时或温控策略触发时，立即回退传统ISP/轻量路径，并记录可聚合的reason code；不得因AI失败阻断拍照出图。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验证体系与量产放行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画质验证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95"/>
        <w:gridCol w:w="2103"/>
        <w:gridCol w:w="3298"/>
        <w:gridCol w:w="2764"/>
      </w:tblGrid>
      <w:tr>
        <w:trPr>
          <w:tblHeader w:val="true"/>
        </w:trPr>
        <w:tc>
          <w:tcPr>
            <w:tcW w:type="dxa" w:w="119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210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3298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建议门限</w:t>
            </w:r>
          </w:p>
        </w:tc>
        <w:tc>
          <w:tcPr>
            <w:tcW w:type="dxa" w:w="276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统计口径</w:t>
            </w:r>
          </w:p>
        </w:tc>
      </w:tr>
      <w:tr>
        <w:trPr/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重建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PSNR/SSIM</w:t>
            </w:r>
          </w:p>
        </w:tc>
        <w:tc>
          <w:tcPr>
            <w:tcW w:type="dxa" w:w="329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最终vs Student FP32：ΔPSNR≤0.15dB</w:t>
            </w:r>
          </w:p>
        </w:tc>
        <w:tc>
          <w:tcPr>
            <w:tcW w:type="dxa" w:w="27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每域均值、P10、最差样本</w:t>
            </w:r>
          </w:p>
        </w:tc>
      </w:tr>
      <w:tr>
        <w:trPr/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量化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PSNR/SSIM</w:t>
            </w:r>
          </w:p>
        </w:tc>
        <w:tc>
          <w:tcPr>
            <w:tcW w:type="dxa" w:w="329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QAT OM vs Pruned FP32：≤0.08dB</w:t>
            </w:r>
          </w:p>
        </w:tc>
        <w:tc>
          <w:tcPr>
            <w:tcW w:type="dxa" w:w="27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逐Sensor/模式</w:t>
            </w:r>
          </w:p>
        </w:tc>
      </w:tr>
      <w:tr>
        <w:trPr/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感知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LPIPS/主观盲测</w:t>
            </w:r>
          </w:p>
        </w:tc>
        <w:tc>
          <w:tcPr>
            <w:tcW w:type="dxa" w:w="329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不得显著差于P0</w:t>
            </w:r>
          </w:p>
        </w:tc>
        <w:tc>
          <w:tcPr>
            <w:tcW w:type="dxa" w:w="27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重点人像、文字、毛发</w:t>
            </w:r>
          </w:p>
        </w:tc>
      </w:tr>
      <w:tr>
        <w:trPr/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颜色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ISP后ΔE/灰阶/WB</w:t>
            </w:r>
          </w:p>
        </w:tc>
        <w:tc>
          <w:tcPr>
            <w:tcW w:type="dxa" w:w="329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不出现系统性色偏</w:t>
            </w:r>
          </w:p>
        </w:tc>
        <w:tc>
          <w:tcPr>
            <w:tcW w:type="dxa" w:w="27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色卡+真实肤色</w:t>
            </w:r>
          </w:p>
        </w:tc>
      </w:tr>
      <w:tr>
        <w:trPr/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噪声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SNR/NPS/色噪</w:t>
            </w:r>
          </w:p>
        </w:tc>
        <w:tc>
          <w:tcPr>
            <w:tcW w:type="dxa" w:w="329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暗部不涂抹、不彩斑</w:t>
            </w:r>
          </w:p>
        </w:tc>
        <w:tc>
          <w:tcPr>
            <w:tcW w:type="dxa" w:w="27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ISO/照度分桶</w:t>
            </w:r>
          </w:p>
        </w:tc>
      </w:tr>
      <w:tr>
        <w:trPr/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细节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MTF/纹理保持</w:t>
            </w:r>
          </w:p>
        </w:tc>
        <w:tc>
          <w:tcPr>
            <w:tcW w:type="dxa" w:w="329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无明显塑料感/振铃</w:t>
            </w:r>
          </w:p>
        </w:tc>
        <w:tc>
          <w:tcPr>
            <w:tcW w:type="dxa" w:w="27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斜边、织物、建筑线</w:t>
            </w:r>
          </w:p>
        </w:tc>
      </w:tr>
      <w:tr>
        <w:trPr/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HDR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高光保持/鬼影评分</w:t>
            </w:r>
          </w:p>
        </w:tc>
        <w:tc>
          <w:tcPr>
            <w:tcW w:type="dxa" w:w="329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不劣于融合基线</w:t>
            </w:r>
          </w:p>
        </w:tc>
        <w:tc>
          <w:tcPr>
            <w:tcW w:type="dxa" w:w="27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运动等级分层</w:t>
            </w:r>
          </w:p>
        </w:tc>
      </w:tr>
      <w:tr>
        <w:trPr/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Tile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接缝检测/视觉</w:t>
            </w:r>
          </w:p>
        </w:tc>
        <w:tc>
          <w:tcPr>
            <w:tcW w:type="dxa" w:w="329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接缝不可见</w:t>
            </w:r>
          </w:p>
        </w:tc>
        <w:tc>
          <w:tcPr>
            <w:tcW w:type="dxa" w:w="27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平滑天空、墙面、暗部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性能与稳定性验证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99"/>
        <w:gridCol w:w="3059"/>
        <w:gridCol w:w="4102"/>
      </w:tblGrid>
      <w:tr>
        <w:trPr>
          <w:tblHeader w:val="true"/>
        </w:trPr>
        <w:tc>
          <w:tcPr>
            <w:tcW w:type="dxa" w:w="2199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3059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量产目标</w:t>
            </w:r>
          </w:p>
        </w:tc>
        <w:tc>
          <w:tcPr>
            <w:tcW w:type="dxa" w:w="410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测试条件</w:t>
            </w:r>
          </w:p>
        </w:tc>
      </w:tr>
      <w:tr>
        <w:trPr/>
        <w:tc>
          <w:tcPr>
            <w:tcW w:type="dxa" w:w="219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AI热态P50</w:t>
            </w:r>
          </w:p>
        </w:tc>
        <w:tc>
          <w:tcPr>
            <w:tcW w:type="dxa" w:w="305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≤100ms（建议）</w:t>
            </w:r>
          </w:p>
        </w:tc>
        <w:tc>
          <w:tcPr>
            <w:tcW w:type="dxa" w:w="410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默认输出分辨率、Primary Tile</w:t>
            </w:r>
          </w:p>
        </w:tc>
      </w:tr>
      <w:tr>
        <w:trPr/>
        <w:tc>
          <w:tcPr>
            <w:tcW w:type="dxa" w:w="219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AI热态P90</w:t>
            </w:r>
          </w:p>
        </w:tc>
        <w:tc>
          <w:tcPr>
            <w:tcW w:type="dxa" w:w="305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≤150ms</w:t>
            </w:r>
          </w:p>
        </w:tc>
        <w:tc>
          <w:tcPr>
            <w:tcW w:type="dxa" w:w="410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每Sensor/模式至少100次</w:t>
            </w:r>
          </w:p>
        </w:tc>
      </w:tr>
      <w:tr>
        <w:trPr/>
        <w:tc>
          <w:tcPr>
            <w:tcW w:type="dxa" w:w="219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AI热态P99</w:t>
            </w:r>
          </w:p>
        </w:tc>
        <w:tc>
          <w:tcPr>
            <w:tcW w:type="dxa" w:w="305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≤200–250ms</w:t>
            </w:r>
          </w:p>
        </w:tc>
        <w:tc>
          <w:tcPr>
            <w:tcW w:type="dxa" w:w="410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包含调度抖动，不含采集</w:t>
            </w:r>
          </w:p>
        </w:tc>
      </w:tr>
      <w:tr>
        <w:trPr/>
        <w:tc>
          <w:tcPr>
            <w:tcW w:type="dxa" w:w="219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峰值额外内存</w:t>
            </w:r>
          </w:p>
        </w:tc>
        <w:tc>
          <w:tcPr>
            <w:tcW w:type="dxa" w:w="305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建议≤250–350MB</w:t>
            </w:r>
          </w:p>
        </w:tc>
        <w:tc>
          <w:tcPr>
            <w:tcW w:type="dxa" w:w="410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融合缓存释放后测量</w:t>
            </w:r>
          </w:p>
        </w:tc>
      </w:tr>
      <w:tr>
        <w:trPr/>
        <w:tc>
          <w:tcPr>
            <w:tcW w:type="dxa" w:w="219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INT8主干占比</w:t>
            </w:r>
          </w:p>
        </w:tc>
        <w:tc>
          <w:tcPr>
            <w:tcW w:type="dxa" w:w="305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≥95%计算量</w:t>
            </w:r>
          </w:p>
        </w:tc>
        <w:tc>
          <w:tcPr>
            <w:tcW w:type="dxa" w:w="410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Profiler按计算量统计，不按节点数</w:t>
            </w:r>
          </w:p>
        </w:tc>
      </w:tr>
      <w:tr>
        <w:trPr/>
        <w:tc>
          <w:tcPr>
            <w:tcW w:type="dxa" w:w="219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连续拍照退化</w:t>
            </w:r>
          </w:p>
        </w:tc>
        <w:tc>
          <w:tcPr>
            <w:tcW w:type="dxa" w:w="305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20张后时延恶化≤20%</w:t>
            </w:r>
          </w:p>
        </w:tc>
        <w:tc>
          <w:tcPr>
            <w:tcW w:type="dxa" w:w="410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目标温控策略、常温/高温</w:t>
            </w:r>
          </w:p>
        </w:tc>
      </w:tr>
      <w:tr>
        <w:trPr/>
        <w:tc>
          <w:tcPr>
            <w:tcW w:type="dxa" w:w="219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崩溃/超时</w:t>
            </w:r>
          </w:p>
        </w:tc>
        <w:tc>
          <w:tcPr>
            <w:tcW w:type="dxa" w:w="3059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0</w:t>
            </w:r>
          </w:p>
        </w:tc>
        <w:tc>
          <w:tcPr>
            <w:tcW w:type="dxa" w:w="410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长稳、异常输入、切摄、前后台切换</w:t>
            </w:r>
          </w:p>
        </w:tc>
      </w:tr>
      <w:tr>
        <w:trPr/>
        <w:tc>
          <w:tcPr>
            <w:tcW w:type="dxa" w:w="219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回退成功率</w:t>
            </w:r>
          </w:p>
        </w:tc>
        <w:tc>
          <w:tcPr>
            <w:tcW w:type="dxa" w:w="3059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100%</w:t>
            </w:r>
          </w:p>
        </w:tc>
        <w:tc>
          <w:tcPr>
            <w:tcW w:type="dxa" w:w="410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模型缺失/metadata错/超时注入</w:t>
            </w:r>
          </w:p>
        </w:tc>
      </w:tr>
    </w:tbl>
    <w:p>
      <w:pPr>
        <w:spacing w:after="40"/>
      </w:pPr>
    </w:p>
    <w:p>
      <w:r>
        <w:rPr>
          <w:rFonts w:ascii="Noto Sans SC Thin" w:hAnsi="Noto Sans SC Thin" w:eastAsia="Noto Sans SC Thin" w:cs="Noto Sans SC Thin"/>
          <w:i w:val="0"/>
          <w:color w:val="172033"/>
        </w:rPr>
        <w:t>以上时延是工程起始门限。若产品定义已有更严格拍照SLA，以产品SLA为准；模型参数量不能替代真实OM热态测量。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域级放行矩阵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4"/>
        <w:gridCol w:w="1290"/>
        <w:gridCol w:w="1290"/>
        <w:gridCol w:w="1290"/>
        <w:gridCol w:w="1290"/>
        <w:gridCol w:w="1386"/>
        <w:gridCol w:w="1380"/>
      </w:tblGrid>
      <w:tr>
        <w:trPr>
          <w:tblHeader w:val="true"/>
        </w:trPr>
        <w:tc>
          <w:tcPr>
            <w:tcW w:type="dxa" w:w="143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Sensor</w:t>
            </w:r>
          </w:p>
        </w:tc>
        <w:tc>
          <w:tcPr>
            <w:tcW w:type="dxa" w:w="129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单帧日间</w:t>
            </w:r>
          </w:p>
        </w:tc>
        <w:tc>
          <w:tcPr>
            <w:tcW w:type="dxa" w:w="129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单帧低照</w:t>
            </w:r>
          </w:p>
        </w:tc>
        <w:tc>
          <w:tcPr>
            <w:tcW w:type="dxa" w:w="129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HDR静态</w:t>
            </w:r>
          </w:p>
        </w:tc>
        <w:tc>
          <w:tcPr>
            <w:tcW w:type="dxa" w:w="129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HDR运动</w:t>
            </w:r>
          </w:p>
        </w:tc>
        <w:tc>
          <w:tcPr>
            <w:tcW w:type="dxa" w:w="1386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MFNR/夜景</w:t>
            </w:r>
          </w:p>
        </w:tc>
        <w:tc>
          <w:tcPr>
            <w:tcW w:type="dxa" w:w="138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状态</w:t>
            </w:r>
          </w:p>
        </w:tc>
      </w:tr>
      <w:tr>
        <w:trPr/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主摄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38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38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逐项签字</w:t>
            </w:r>
          </w:p>
        </w:tc>
      </w:tr>
      <w:tr>
        <w:trPr/>
        <w:tc>
          <w:tcPr>
            <w:tcW w:type="dxa" w:w="143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超广角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38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38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逐项签字</w:t>
            </w:r>
          </w:p>
        </w:tc>
      </w:tr>
      <w:tr>
        <w:trPr/>
        <w:tc>
          <w:tcPr>
            <w:tcW w:type="dxa" w:w="143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长焦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386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38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逐项签字</w:t>
            </w:r>
          </w:p>
        </w:tc>
      </w:tr>
      <w:tr>
        <w:trPr/>
        <w:tc>
          <w:tcPr>
            <w:tcW w:type="dxa" w:w="143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新增Sensor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必测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按能力</w:t>
            </w:r>
          </w:p>
        </w:tc>
        <w:tc>
          <w:tcPr>
            <w:tcW w:type="dxa" w:w="129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按能力</w:t>
            </w:r>
          </w:p>
        </w:tc>
        <w:tc>
          <w:tcPr>
            <w:tcW w:type="dxa" w:w="1386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按能力</w:t>
            </w:r>
          </w:p>
        </w:tc>
        <w:tc>
          <w:tcPr>
            <w:tcW w:type="dxa" w:w="138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禁止沿用结论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EAF5EF" w:val="clear"/>
            <w:tcBorders>
              <w:top w:val="single" w:sz="4" w:space="0" w:color="D8DEE8"/>
              <w:left w:val="single" w:sz="22" w:space="0" w:color="2F6B4F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2F6B4F"/>
              </w:rPr>
              <w:t>总放行规则：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画质、性能、内存、热稳定、算子落点和故障回退六项必须同时通过。任一域失败即为版本失败，不允许用其它域的平均收益抵消。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项目实施计划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43"/>
        <w:gridCol w:w="1195"/>
        <w:gridCol w:w="2772"/>
        <w:gridCol w:w="2342"/>
        <w:gridCol w:w="1808"/>
      </w:tblGrid>
      <w:tr>
        <w:trPr>
          <w:tblHeader w:val="true"/>
        </w:trPr>
        <w:tc>
          <w:tcPr>
            <w:tcW w:type="dxa" w:w="124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1195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周期</w:t>
            </w:r>
          </w:p>
        </w:tc>
        <w:tc>
          <w:tcPr>
            <w:tcW w:type="dxa" w:w="277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核心工作</w:t>
            </w:r>
          </w:p>
        </w:tc>
        <w:tc>
          <w:tcPr>
            <w:tcW w:type="dxa" w:w="234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主要产物</w:t>
            </w:r>
          </w:p>
        </w:tc>
        <w:tc>
          <w:tcPr>
            <w:tcW w:type="dxa" w:w="1808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退出条件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A. 基线与接口</w:t>
            </w:r>
          </w:p>
        </w:tc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第1–2周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数据契约、Sensor规范化、P0实机Profiler</w:t>
            </w:r>
          </w:p>
        </w:tc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接口文档、Golden Set、基线报告</w:t>
            </w:r>
          </w:p>
        </w:tc>
        <w:tc>
          <w:tcPr>
            <w:tcW w:type="dxa" w:w="180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输入/输出与SLA冻结</w:t>
            </w:r>
          </w:p>
        </w:tc>
      </w:tr>
      <w:tr>
        <w:trPr/>
        <w:tc>
          <w:tcPr>
            <w:tcW w:type="dxa" w:w="124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B. Teacher</w:t>
            </w:r>
          </w:p>
        </w:tc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第2–6周</w:t>
            </w:r>
          </w:p>
        </w:tc>
        <w:tc>
          <w:tcPr>
            <w:tcW w:type="dxa" w:w="277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多域训练、难例补采、画质上限</w:t>
            </w:r>
          </w:p>
        </w:tc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Teacher ckpt、软标签缓存</w:t>
            </w:r>
          </w:p>
        </w:tc>
        <w:tc>
          <w:tcPr>
            <w:tcW w:type="dxa" w:w="180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全域Teacher放行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C. Student蒸馏</w:t>
            </w:r>
          </w:p>
        </w:tc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第4–9周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GT预热、输出/特征蒸馏</w:t>
            </w:r>
          </w:p>
        </w:tc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Student P0、蒸馏报告</w:t>
            </w:r>
          </w:p>
        </w:tc>
        <w:tc>
          <w:tcPr>
            <w:tcW w:type="dxa" w:w="180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14.35M基线放行</w:t>
            </w:r>
          </w:p>
        </w:tc>
      </w:tr>
      <w:tr>
        <w:trPr/>
        <w:tc>
          <w:tcPr>
            <w:tcW w:type="dxa" w:w="124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D. 剪枝</w:t>
            </w:r>
          </w:p>
        </w:tc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第9–11周</w:t>
            </w:r>
          </w:p>
        </w:tc>
        <w:tc>
          <w:tcPr>
            <w:tcW w:type="dxa" w:w="277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P1/P2/P3物理剪枝与恢复</w:t>
            </w:r>
          </w:p>
        </w:tc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12.1–12.4M FP32</w:t>
            </w:r>
          </w:p>
        </w:tc>
        <w:tc>
          <w:tcPr>
            <w:tcW w:type="dxa" w:w="180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域级损失≤门限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E. QAT与转换</w:t>
            </w:r>
          </w:p>
        </w:tc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第11–13周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QAT、ONNX、OM、算子审计</w:t>
            </w:r>
          </w:p>
        </w:tc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QAT ckpt、ONNX、OM</w:t>
            </w:r>
          </w:p>
        </w:tc>
        <w:tc>
          <w:tcPr>
            <w:tcW w:type="dxa" w:w="180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量化损失与落点通过</w:t>
            </w:r>
          </w:p>
        </w:tc>
      </w:tr>
      <w:tr>
        <w:trPr/>
        <w:tc>
          <w:tcPr>
            <w:tcW w:type="dxa" w:w="124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F. ISP集成</w:t>
            </w:r>
          </w:p>
        </w:tc>
        <w:tc>
          <w:tcPr>
            <w:tcW w:type="dxa" w:w="1195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第12–15周</w:t>
            </w:r>
          </w:p>
        </w:tc>
        <w:tc>
          <w:tcPr>
            <w:tcW w:type="dxa" w:w="277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Tile、缓存、调度、回退</w:t>
            </w:r>
          </w:p>
        </w:tc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集成包、Profiler</w:t>
            </w:r>
          </w:p>
        </w:tc>
        <w:tc>
          <w:tcPr>
            <w:tcW w:type="dxa" w:w="180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P90/P99/内存通过</w:t>
            </w:r>
          </w:p>
        </w:tc>
      </w:tr>
      <w:tr>
        <w:trPr/>
        <w:tc>
          <w:tcPr>
            <w:tcW w:type="dxa" w:w="124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G. 量产回归</w:t>
            </w:r>
          </w:p>
        </w:tc>
        <w:tc>
          <w:tcPr>
            <w:tcW w:type="dxa" w:w="1195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center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第15–18周</w:t>
            </w:r>
          </w:p>
        </w:tc>
        <w:tc>
          <w:tcPr>
            <w:tcW w:type="dxa" w:w="277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多设备、热态、长稳、视觉盲测</w:t>
            </w:r>
          </w:p>
        </w:tc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Release Candidate、Model Card</w:t>
            </w:r>
          </w:p>
        </w:tc>
        <w:tc>
          <w:tcPr>
            <w:tcW w:type="dxa" w:w="180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六项总放行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工程交付物清单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模型：Teacher、Student-P0、Pruned-P1/P2/P3、QAT、ONNX、OM及其SHA256。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配置：train.yaml、distill.yaml、prune.yaml、qat.yaml、atc配置、tile配置和model_manifest.json。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数据：数据schema、采样器、Golden Set清单、域标签、Sensor校准包和camera embedding。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验证：PyTorch/ONNX/OM一致性脚本、画质评测、Profiler、峰值内存、连续拍照与故障注入报告。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发布：Model Card、已知限制、回退策略、CANN/固件兼容矩阵、版本变更记录。</w:t>
      </w: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风险与回退策略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64"/>
        <w:gridCol w:w="2103"/>
        <w:gridCol w:w="2963"/>
        <w:gridCol w:w="2430"/>
      </w:tblGrid>
      <w:tr>
        <w:trPr>
          <w:tblHeader w:val="true"/>
        </w:trPr>
        <w:tc>
          <w:tcPr>
            <w:tcW w:type="dxa" w:w="1864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210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早期信号</w:t>
            </w:r>
          </w:p>
        </w:tc>
        <w:tc>
          <w:tcPr>
            <w:tcW w:type="dxa" w:w="2963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首选处置</w:t>
            </w:r>
          </w:p>
        </w:tc>
        <w:tc>
          <w:tcPr>
            <w:tcW w:type="dxa" w:w="2430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8"/>
              </w:rPr>
              <w:t>最终回退</w:t>
            </w:r>
          </w:p>
        </w:tc>
      </w:tr>
      <w:tr>
        <w:trPr/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多摄负迁移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超广/长焦域指标下降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提高域采样与camera embedding容量</w:t>
            </w:r>
          </w:p>
        </w:tc>
        <w:tc>
          <w:tcPr>
            <w:tcW w:type="dxa" w:w="243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同结构少量camera-specific OM</w:t>
            </w:r>
          </w:p>
        </w:tc>
      </w:tr>
      <w:tr>
        <w:trPr/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HDR鬼影恶化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运动区高频假细节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提高ghost mask权重、保守残差约束</w:t>
            </w:r>
          </w:p>
        </w:tc>
        <w:tc>
          <w:tcPr>
            <w:tcW w:type="dxa" w:w="243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低置信度区旁路/减弱AI</w:t>
            </w:r>
          </w:p>
        </w:tc>
      </w:tr>
      <w:tr>
        <w:trPr/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15%剪枝拐点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P2/P3尾部显著下降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恢复敏感group，接受14%剪枝</w:t>
            </w:r>
          </w:p>
        </w:tc>
        <w:tc>
          <w:tcPr>
            <w:tcW w:type="dxa" w:w="243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回退P2或未剪枝Student</w:t>
            </w:r>
          </w:p>
        </w:tc>
      </w:tr>
      <w:tr>
        <w:trPr/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INT8 banding/色偏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暗部阶调断层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FP16 Intro/Ending、调整scale</w:t>
            </w:r>
          </w:p>
        </w:tc>
        <w:tc>
          <w:tcPr>
            <w:tcW w:type="dxa" w:w="243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混合精度OM</w:t>
            </w:r>
          </w:p>
        </w:tc>
      </w:tr>
      <w:tr>
        <w:trPr/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OM时延不降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通道Pad/FP16回退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对齐通道、替换算子、改Tile</w:t>
            </w:r>
          </w:p>
        </w:tc>
        <w:tc>
          <w:tcPr>
            <w:tcW w:type="dxa" w:w="243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保留14.35M或减Block的原生Lite另立项</w:t>
            </w:r>
          </w:p>
        </w:tc>
      </w:tr>
      <w:tr>
        <w:trPr/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峰值内存超标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与融合缓存叠加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释放/复用缓存、减Tile</w:t>
            </w:r>
          </w:p>
        </w:tc>
        <w:tc>
          <w:tcPr>
            <w:tcW w:type="dxa" w:w="243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延后AI或Lite路径</w:t>
            </w:r>
          </w:p>
        </w:tc>
      </w:tr>
      <w:tr>
        <w:trPr/>
        <w:tc>
          <w:tcPr>
            <w:tcW w:type="dxa" w:w="1864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热降频</w:t>
            </w:r>
          </w:p>
        </w:tc>
        <w:tc>
          <w:tcPr>
            <w:tcW w:type="dxa" w:w="210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连续拍照P99陡升</w:t>
            </w:r>
          </w:p>
        </w:tc>
        <w:tc>
          <w:tcPr>
            <w:tcW w:type="dxa" w:w="2963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错峰调度、降低并发</w:t>
            </w:r>
          </w:p>
        </w:tc>
        <w:tc>
          <w:tcPr>
            <w:tcW w:type="dxa" w:w="2430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仅选中帧运行Main</w:t>
            </w:r>
          </w:p>
        </w:tc>
      </w:tr>
      <w:tr>
        <w:trPr/>
        <w:tc>
          <w:tcPr>
            <w:tcW w:type="dxa" w:w="1864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版本不兼容</w:t>
            </w:r>
          </w:p>
        </w:tc>
        <w:tc>
          <w:tcPr>
            <w:tcW w:type="dxa" w:w="210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CANN/固件转换差异</w:t>
            </w:r>
          </w:p>
        </w:tc>
        <w:tc>
          <w:tcPr>
            <w:tcW w:type="dxa" w:w="2963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锁版本与回归</w:t>
            </w:r>
          </w:p>
        </w:tc>
        <w:tc>
          <w:tcPr>
            <w:tcW w:type="dxa" w:w="2430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7"/>
              </w:rPr>
              <w:t>回退上一个已认证OM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最终冻结方案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EAF5EF" w:val="clear"/>
            <w:tcBorders>
              <w:top w:val="single" w:sz="4" w:space="0" w:color="D8DEE8"/>
              <w:left w:val="single" w:sz="22" w:space="0" w:color="2F6B4F"/>
              <w:bottom w:val="single" w:sz="4" w:space="0" w:color="D8DEE8"/>
              <w:right w:val="single" w:sz="4" w:space="0" w:color="D8DEE8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SC Thin" w:hAnsi="Noto Sans SC Thin" w:eastAsia="Noto Sans SC Thin" w:cs="Noto Sans SC Thin"/>
                <w:b/>
                <w:color w:val="2F6B4F"/>
              </w:rPr>
              <w:t>量产主线：</w:t>
            </w:r>
            <w:r>
              <w:rPr>
                <w:rFonts w:ascii="Noto Sans SC Thin" w:hAnsi="Noto Sans SC Thin" w:eastAsia="Noto Sans SC Thin" w:cs="Noto Sans SC Thin"/>
                <w:color w:val="172033"/>
              </w:rPr>
              <w:t>width=64 Teacher（约57M，服务器侧）→ 原生width=32 Student（14.347M）→ 分阶段块内结构化剪枝至全模型14%–16%（中心15%）→ 约12.1–12.4M（中心12.2M）→ 蒸馏辅助QAT → INT8主干/FP16 I/O → ONNX/OM → 麒麟9000实机六项放行。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冻结配置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2"/>
        <w:gridCol w:w="7018"/>
      </w:tblGrid>
      <w:tr>
        <w:trPr>
          <w:tblHeader w:val="true"/>
        </w:trPr>
        <w:tc>
          <w:tcPr>
            <w:tcW w:type="dxa" w:w="2342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018"/>
            <w:vAlign w:val="center"/>
            <w:shd w:fill="E8EEF5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19"/>
              </w:rPr>
              <w:t>冻结值</w:t>
            </w:r>
          </w:p>
        </w:tc>
      </w:tr>
      <w:tr>
        <w:trPr/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Teacher</w:t>
            </w:r>
          </w:p>
        </w:tc>
        <w:tc>
          <w:tcPr>
            <w:tcW w:type="dxa" w:w="701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width=64；enc=[2,2,4,8]；middle=4；dec=[2,2,2,2]</w:t>
            </w:r>
          </w:p>
        </w:tc>
      </w:tr>
      <w:tr>
        <w:trPr/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Student</w:t>
            </w:r>
          </w:p>
        </w:tc>
        <w:tc>
          <w:tcPr>
            <w:tcW w:type="dxa" w:w="701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width=32；enc=[2,2,4,8]；middle=4；dec=[2,2,2,2]</w:t>
            </w:r>
          </w:p>
        </w:tc>
      </w:tr>
      <w:tr>
        <w:trPr/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统一输入</w:t>
            </w:r>
          </w:p>
        </w:tc>
        <w:tc>
          <w:tcPr>
            <w:tcW w:type="dxa" w:w="701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N×16×H×W：4 RAW + 12 Context，H/W为16倍数</w:t>
            </w:r>
          </w:p>
        </w:tc>
      </w:tr>
      <w:tr>
        <w:trPr/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输出</w:t>
            </w:r>
          </w:p>
        </w:tc>
        <w:tc>
          <w:tcPr>
            <w:tcW w:type="dxa" w:w="701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4通道RAW residual，FP16合成</w:t>
            </w:r>
          </w:p>
        </w:tc>
      </w:tr>
      <w:tr>
        <w:trPr/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剪枝</w:t>
            </w:r>
          </w:p>
        </w:tc>
        <w:tc>
          <w:tcPr>
            <w:tcW w:type="dxa" w:w="701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全模型14%–16%，中心15%；只剪NAFBlock内部扩展通道</w:t>
            </w:r>
          </w:p>
        </w:tc>
      </w:tr>
      <w:tr>
        <w:trPr/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最终参数</w:t>
            </w:r>
          </w:p>
        </w:tc>
        <w:tc>
          <w:tcPr>
            <w:tcW w:type="dxa" w:w="701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约12.1–12.4M，中心12.2M；以物理图summary为准</w:t>
            </w:r>
          </w:p>
        </w:tc>
      </w:tr>
      <w:tr>
        <w:trPr/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量化</w:t>
            </w:r>
          </w:p>
        </w:tc>
        <w:tc>
          <w:tcPr>
            <w:tcW w:type="dxa" w:w="701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QAT INT8主干；敏感首尾与必要逐元素算子允许FP16</w:t>
            </w:r>
          </w:p>
        </w:tc>
      </w:tr>
      <w:tr>
        <w:trPr/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Tile首选</w:t>
            </w:r>
          </w:p>
        </w:tc>
        <w:tc>
          <w:tcPr>
            <w:tcW w:type="dxa" w:w="701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512×512 packed，halo 48；384/640仅作A/B候选</w:t>
            </w:r>
          </w:p>
        </w:tc>
      </w:tr>
      <w:tr>
        <w:trPr/>
        <w:tc>
          <w:tcPr>
            <w:tcW w:type="dxa" w:w="2342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部署形态</w:t>
            </w:r>
          </w:p>
        </w:tc>
        <w:tc>
          <w:tcPr>
            <w:tcW w:type="dxa" w:w="7018"/>
            <w:vAlign w:val="cente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共享单一OM + 每Sensor校准包/4维embedding</w:t>
            </w:r>
          </w:p>
        </w:tc>
      </w:tr>
      <w:tr>
        <w:trPr/>
        <w:tc>
          <w:tcPr>
            <w:tcW w:type="dxa" w:w="2342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回退</w:t>
            </w:r>
          </w:p>
        </w:tc>
        <w:tc>
          <w:tcPr>
            <w:tcW w:type="dxa" w:w="7018"/>
            <w:vAlign w:val="center"/>
            <w:shd w:fill="F4F7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30" w:before="0" w:line="259" w:lineRule="auto"/>
              <w:jc w:val="left"/>
            </w:pPr>
            <w:r>
              <w:rPr>
                <w:rFonts w:ascii="Noto Sans SC Thin" w:hAnsi="Noto Sans SC Thin" w:eastAsia="Noto Sans SC Thin" w:cs="Noto Sans SC Thin"/>
                <w:color w:val="172033"/>
                <w:sz w:val="18"/>
              </w:rPr>
              <w:t>传统ISP/轻量路径；AI故障不得阻断出图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量产前最终检查表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Teacher与Student使用完全相同的输入语义、输出语义和RAW规范化。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Student P0在每颗Sensor/每种模式单独通过画质基线。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P1/P2/P3均为物理图重构，模型summary与通道索引检查通过。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P3最终参数位于12.1–12.4M附近，中心约12.2M，浅层/输出侧未被过度剪枝。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QAT OM相对Pruned FP32的域级PSNR下降不超过0.08dB。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主干INT8计算占比≥95%，FP16回退和Cast/Requant均有解释。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Primary Tile无接缝，P90/P99、峰值内存与连续拍照热态达标。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HDR低置信度/运动区域无明显鬼影放大，单帧路径默认图语义正确。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多摄切换、metadata错误、模型加载失败和NPU超时均能100%回退。</w:t>
      </w:r>
    </w:p>
    <w:p>
      <w:pPr>
        <w:numPr>
          <w:ilvl w:val="0"/>
          <w:numId w:val="10"/>
        </w:numPr>
        <w:keepLines/>
      </w:pPr>
      <w:r>
        <w:rPr>
          <w:rFonts w:ascii="Noto Sans SC Thin" w:hAnsi="Noto Sans SC Thin" w:eastAsia="Noto Sans SC Thin" w:cs="Noto Sans SC Thin"/>
          <w:color w:val="172033"/>
        </w:rPr>
        <w:t>□ Model Card、manifest、校准包、OM、固件/CANN兼容矩阵均已锁版。</w:t>
      </w: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附录：配置样例</w:t>
      </w: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训练配置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model: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teacher_width: 64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student_width: 32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img_channel: 16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out_channel: 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enc_blk_nums: [2, 2, 4, 8]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middle_blk_num: 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dec_blk_nums: [2, 2, 2, 2]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output_mode: residual_raw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sampling: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mode_ratio: {single: 0.45, fused_hdr_mfnr: 0.45, hard_case: 0.10}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balance_by: [camera_id, mode_id, iso_bucket, motion_bucket]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pruning: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global_target: 0.15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checkpoints: [0.05, 0.10, 0.15]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group_alignment: 16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keep_main_channels: true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keep_block_count: true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physical_rebuild: true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quantization: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method: qat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weight: int8_per_channel_symmetric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input_output: fp16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 xml:space="preserve">  target_int8_compute_ratio: 0.95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26"/>
        </w:rPr>
        <w:t>发布manifest最低字段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9360"/>
      </w:tblGrid>
      <w:tr>
        <w:trPr>
          <w:cantSplit/>
        </w:trPr>
        <w:tc>
          <w:tcPr>
            <w:tcW w:type="dxa" w:w="9360"/>
            <w:shd w:fill="F7F8FA" w:val="clear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model_name, model_version, git_commit, checkpoint_sha256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teacher_version, dataset_version, golden_set_version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input_names, input_shapes, input_dtypes, input_normalization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output_names, output_shapes, output_dtypes, residual_definition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camera_calib_versions, camera_embedding_version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pruning_ratio, physical_param_count, qat_config_hash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onnx_opset, atc_options, cann_version, firmware_version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273142"/>
                <w:sz w:val="17"/>
              </w:rPr>
              <w:t>tile_size, halo_size, fallback_policy, known_limitations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SC Thin" w:hAnsi="Noto Sans SC Thin" w:eastAsia="Noto Sans SC Thin" w:cs="Noto Sans SC Thin"/>
          <w:b/>
          <w:color w:val="2E74B5"/>
          <w:sz w:val="32"/>
        </w:rPr>
        <w:t>结论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在不再强制8M参数限制的前提下，原生width=32 Student经过约15%温和结构化剪枝，是麒麟9000默认拍照AI-Enhancement更合理的量产中心点。该方案保留完整NAFNet拓扑和Stage主通道，把压缩集中在深层扩展通道，并用width=64 Teacher、统一上下文输入、多域数据和QAT抵消画质损失。</w:t>
      </w:r>
    </w:p>
    <w:p>
      <w:r>
        <w:rPr>
          <w:rFonts w:ascii="Noto Sans SC Thin" w:hAnsi="Noto Sans SC Thin" w:eastAsia="Noto Sans SC Thin" w:cs="Noto Sans SC Thin"/>
          <w:i w:val="0"/>
          <w:color w:val="172033"/>
        </w:rPr>
        <w:t>建议按P0→P1→P2→P3→QAT→OM六个Gate推进，先用真实OM验证14.35M与约12.2M两个候选点，再以域级画质、热态P90/P99、峰值内存和整条ISP等待时间决定最终锁版。若12.2M已满足SLA，不应继续向8M强剪；若仍不满足，应另立原生Lite结构，而不是破坏当前主模型的画质稳定性。</w:t>
      </w:r>
    </w:p>
    <w:sectPr w:rsidR="00FC693F" w:rsidRPr="0006063C" w:rsidSect="00034616">
      <w:headerReference w:type="default" r:id="rId9"/>
      <w:headerReference w:type="first" r:id="rId10"/>
      <w:footerReference w:type="firs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 Thin" w:hAnsi="Noto Sans SC Thin" w:eastAsia="Noto Sans SC Thin" w:cs="Noto Sans SC Thin"/>
        <w:color w:val="687386"/>
        <w:sz w:val="17"/>
      </w:rPr>
      <w:t>V1.0  |  2026-07-26  |  内部工程方案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rPr/>
      <w:tc>
        <w:tcPr>
          <w:tcW w:type="dxa" w:w="4680"/>
          <w:vAlign w:val="center"/>
          <w:tcMar>
            <w:top w:w="0" w:type="dxa"/>
            <w:bottom w:w="0" w:type="dxa"/>
            <w:start w:w="0" w:type="dxa"/>
            <w:end w:w="0" w:type="dxa"/>
          </w:tcMar>
          <w:tcBorders>
            <w:top w:val="single" w:sz="4" w:space="0" w:color="D8DEE8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Noto Sans SC Thin" w:hAnsi="Noto Sans SC Thin" w:eastAsia="Noto Sans SC Thin" w:cs="Noto Sans SC Thin"/>
              <w:color w:val="687386"/>
              <w:sz w:val="17"/>
            </w:rPr>
            <w:t>V1.0  |  商业部署候选</w:t>
          </w:r>
        </w:p>
      </w:tc>
      <w:tc>
        <w:tcPr>
          <w:tcW w:type="dxa" w:w="4680"/>
          <w:vAlign w:val="center"/>
          <w:tcMar>
            <w:top w:w="0" w:type="dxa"/>
            <w:bottom w:w="0" w:type="dxa"/>
            <w:start w:w="0" w:type="dxa"/>
            <w:end w:w="0" w:type="dxa"/>
          </w:tcMar>
          <w:tcBorders>
            <w:top w:val="single" w:sz="4" w:space="0" w:color="D8DEE8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oto Sans SC Thin" w:hAnsi="Noto Sans SC Thin" w:eastAsia="Noto Sans SC Thin" w:cs="Noto Sans SC Thin"/>
              <w:color w:val="687386"/>
              <w:sz w:val="18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Noto Sans SC Thin" w:hAnsi="Noto Sans SC Thin" w:eastAsia="Noto Sans SC Thin" w:cs="Noto Sans SC Thin"/>
              <w:color w:val="687386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3" w:color="D8DEE8"/>
      </w:pBdr>
    </w:pPr>
    <w:r>
      <w:rPr>
        <w:rFonts w:ascii="Noto Sans SC Thin" w:hAnsi="Noto Sans SC Thin" w:eastAsia="Noto Sans SC Thin" w:cs="Noto Sans SC Thin"/>
        <w:b/>
        <w:color w:val="687386"/>
        <w:sz w:val="17"/>
      </w:rPr>
      <w:t>NAFNet AI-Enhancement 工业级量产方案  |  麒麟9000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Noto Sans SC Thin" w:hAnsi="Noto Sans SC Thin" w:eastAsia="Noto Sans SC Thin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Noto Sans SC Thin" w:hAnsi="Noto Sans SC Thin" w:eastAsia="Noto Sans SC Thin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Noto Sans SC Thin" w:hAnsi="Noto Sans SC Thin" w:eastAsia="Noto Sans SC Thin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Noto Sans SC Thin" w:hAnsi="Noto Sans SC Thin" w:eastAsia="Noto Sans SC Thin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SC Thin" w:hAnsi="Noto Sans SC Thin" w:eastAsia="Noto Sans SC Thin" w:cs="Noto Sans SC Thin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Noto Sans SC Thin" w:hAnsi="Noto Sans SC Thin" w:eastAsia="Noto Sans SC Thin" w:cs="Noto Sans SC Thi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Noto Sans SC Thin" w:hAnsi="Noto Sans SC Thin" w:eastAsia="Noto Sans SC Thin" w:cs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Noto Sans SC Thin" w:hAnsi="Noto Sans SC Thin" w:eastAsia="Noto Sans SC Thin" w:cs="Noto Sans SC Thin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Noto Sans SC Thin" w:hAnsi="Noto Sans SC Thin" w:eastAsia="Noto Sans SC Thin" w:cs="Noto Sans SC Thin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Noto Sans SC Thin" w:hAnsi="Noto Sans SC Thin" w:eastAsia="Noto Sans SC Thin" w:cs="Noto Sans SC Thin"/>
      <w:b w:val="0"/>
      <w:i/>
      <w:iCs/>
      <w:color w:val="68738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Noto Sans SC Thin" w:hAnsi="Noto Sans SC Thin" w:eastAsia="Noto Sans SC Thin" w:cs="Noto Sans SC Thin"/>
      <w:b w:val="0"/>
      <w:bCs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NAFNet适配麒麟9000 AI-Enhancement工业级量产方案</dc:title>
  <dc:subject>width=64 Teacher + width=32 Student + 15%结构化剪枝 + QAT</dc:subject>
  <dc:creator>AI Imaging Engineering</dc:creator>
  <cp:keywords>NAFNet, Kirin 9000, AI-Enhancement, HDR, Multi-camera, QAT, INT8</cp:keywords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