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SimSun"/>
          <w:b/>
          <w:bCs/>
          <w:color w:val="1F3864"/>
          <w:sz w:val="34"/>
          <w:szCs w:val="34"/>
        </w:rPr>
        <w:t xml:space="preserve">MOF烟气CO₂捕集：性能评估、构效关系挖掘与逆向设计</w:t>
      </w:r>
    </w:p>
    <w:p>
      <w:pPr>
        <w:spacing w:after="260"/>
        <w:jc w:val="center"/>
      </w:pPr>
      <w:r>
        <w:rPr>
          <w:rFonts w:ascii="Times New Roman" w:eastAsia="SimSun"/>
          <w:color w:val="595959"/>
          <w:sz w:val="22"/>
          <w:szCs w:val="22"/>
        </w:rPr>
        <w:t xml:space="preserve">—— 项目说明与AI分析指引 v2（随数据文件 252_MOF_总文件_冗余评估数据.xlsx 一并提供）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一、项目背景与总体目标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研究对象为从CoRE MOF 2019数据库选取的252个金属有机框架材料（MOF），气体吸附性能由GCMC分子模拟获得（干燥条件、CO₂与N₂单组分等温线）。所附Excel包含三部分：结构与组成描述符（自变量x）、GCMC原始模拟数据（指标构造的原料池）、以及19个已派生的烟气工况性能指标（候选y池）。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请你（AI）按顺序完成以下三层任务：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第一层（性能评估与排序）：自主选定评价指标体系（详见第四节的自由度与义务），对252个MOF在烟气CO₂捕集性能上进行综合评估与排序，VSA与TSA两条再生路线并列给出两套排序结果；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第二层（构效关系挖掘）：分析x与性能之间的统计与物理关系，识别驱动性能的关键结构/组成特征（可为多维组合特征）；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第三层（设计规则与结构推荐）：将关键特征转译为可操作的MOF设计规则，并推荐3–5个具体的MOF组成方案（无机SBU + 有机配体 + 拓扑），逐一说明预期性能、依据的规则、以及相对本数据集化学空间的外推程度。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二、评价目标（由项目方锁定，不可更改）</w:t>
      </w:r>
    </w:p>
    <w:p>
      <w:pPr>
        <w:spacing w:after="120" w:line="300"/>
      </w:pPr>
      <w:r>
        <w:rPr>
          <w:rFonts w:ascii="Times New Roman" w:eastAsia="SimSun"/>
          <w:b/>
          <w:bCs/>
          <w:i w:val="false"/>
          <w:iCs w:val="false"/>
          <w:color w:val="000000"/>
          <w:sz w:val="21"/>
          <w:szCs w:val="21"/>
        </w:rPr>
        <w:t xml:space="preserve">在干燥烟气工况（CO₂分压0.15 bar、N₂分压0.75 bar、温度298K）下进行吸附时：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尽可能多地吸附CO₂；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尽可能少地吸附N₂；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脱附再生时，能耗尽可能低。VSA与TSA两条路线分别评价、并列报告，不合并加权、不偏袒任一路线。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以上是唯一的评价目标。如何度量这一目标（选用哪些指标、如何加权、如何处理冗余）由你决定，见第四节。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三、工况定义（锁死，所有指标必须锚定于此）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吸附段：CO₂ 0.15 bar / N₂ 0.75 bar，298K，干燥烟气；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VSA脱附段：同温298K，抽真空至CO₂ 0.01 bar；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TSA脱附段：升温至363K，CO₂ 0.1 bar；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能耗参数：真空泵效率η=0.70；热→电卡诺折算因子=0.75×(1−298/363)=0.1343；吸附剂比热Cp=1.0 kJ/(kg·K)。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你在构造任何新指标时，只能自由决定指标的数学形式，不得改变上述压力、温度与参数设定。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四、指标体系：你的自由度与义务（本项目的核心设计）</w:t>
      </w:r>
    </w:p>
    <w:p>
      <w:pPr>
        <w:pStyle w:val="Heading2"/>
        <w:spacing w:after="100" w:before="200"/>
      </w:pPr>
      <w:r>
        <w:rPr>
          <w:rFonts w:ascii="Times New Roman" w:eastAsia="SimSun"/>
          <w:b/>
          <w:bCs/>
          <w:color w:val="2F5496"/>
          <w:sz w:val="24"/>
          <w:szCs w:val="24"/>
        </w:rPr>
        <w:t xml:space="preserve">4.1 自由度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候选y池（19列，见第五节清单）刻意保留了大量冗余版本——同一属性的不同测法、不同压力口径、不同计算框架并存。你有权自主决定纳入哪些指标、如何分组、如何加权；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认为候选池不足以刻画评价目标，你有权从“GCMC计算气体吸附性能”原始数据块（80列：CO₂在298K十二个压力点与363K三个压力点、N₂在298K八个压力点的吸附量与逐点Qst、Henry系数、Widom零覆盖Qst）构造新指标，但工况必须遵守第三节。</w:t>
      </w:r>
    </w:p>
    <w:p>
      <w:pPr>
        <w:pStyle w:val="Heading2"/>
        <w:spacing w:after="100" w:before="200"/>
      </w:pPr>
      <w:r>
        <w:rPr>
          <w:rFonts w:ascii="Times New Roman" w:eastAsia="SimSun"/>
          <w:b/>
          <w:bCs/>
          <w:color w:val="2F5496"/>
          <w:sz w:val="24"/>
          <w:szCs w:val="24"/>
        </w:rPr>
        <w:t xml:space="preserve">4.2 义务（不可省略）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先诊断后选择：在选定指标前，报告候选池的相关性结构（相关矩阵或分组分析），说明哪些列高度共线；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书面论证：对每个纳入的指标说明选择理由，对每个排除的指标说明排除理由（冗余/信息弱/不贴工况等）；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防重复计分：同一底层属性无论有多少种测法，在综合评分中只能占一个自由度；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重尾预处理：对分布重尾的列（已知Henry选择性最高约958、TSA再生热最高约2900 kJ/mol）在归一化前取对数或截尾，并说明处理方式；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稳健性检验：报告排序对指标选择与权重设定的敏感性（例如更换测法或扰动权重后top20的重合度）。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五、候选性能指标池（19列）：计算溯源与已知冗余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以下计算溯源供你判断各指标的物理含义；“已知冗余”是项目方此前定量分析的结果，供你验证与利用，不必照单全收。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</w:tcPr>
          <w:p>
            <w:pPr>
              <w:spacing w:after="4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19"/>
                <w:szCs w:val="19"/>
              </w:rPr>
              <w:t xml:space="preserve">指标（方向）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val="clear"/>
          </w:tcPr>
          <w:p>
            <w:pPr>
              <w:spacing w:after="4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19"/>
                <w:szCs w:val="19"/>
              </w:rPr>
              <w:t xml:space="preserve">计算方法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CO₂吸附@0.15bar（↑）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GCMC直接值：烟气CO₂分压下的平衡吸附量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CO2_Qst_CC均值 / @0.1 / @0.5 / @1bar（↑，共4列）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Clausius-Clapeyron法：用298K与363K两条等温线对同一吸附量反算；均值为三个压力点的平均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CO2_Qst_GCMC烟气段均值（↑）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0.05/0.1/0.15 bar三个逐点GCMC Qst的平均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CO2_Qst_Widom零覆盖（↑）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Widom粒子插入法，无限稀释吸附热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CO2_VSA工作容量（↑）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q(0.15bar,298K) − q(0.01bar,298K)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CO2_TSA工作容量（↑）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q(0.15bar,298K) − q(0.1bar,363K)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CO2N2实际选择性（↑）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(q_CO2@0.15/0.15)/(q_N2@0.75/0.75)，真实分压口径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CO2N2_Henry选择性（↑）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Henry常数之比，零覆盖极限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PE_VSA寄生能（↓）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Lin et al.框架：卡诺折算的脱附焓积分 + 含N₂共抽惩罚的真空泵功，(1+Δq_N2/Δq_CO2)·RT/η·ln(15)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CO2_TSA双积分再生热（↓）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(Cp·ΔT + ∫Qst(q)dq)/Δq_TSA；Qst(q)曲线由12个压力点逐点Qst构建、Widom值为q=0锚点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N2_Qst_Widom零覆盖 / 烟气段均值 / @1bar（↓，共3列）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N₂亲和力的三种测法；烟气段为0.75/0.9 bar平均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N2吸附@0.75bar / @1bar（↓，共2列）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N₂在两个压力下的吸附量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Qst差(CO2−N2)（↑）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Times New Roman" w:eastAsia="SimSun"/>
                <w:sz w:val="19"/>
                <w:szCs w:val="19"/>
              </w:rPr>
              <w:t xml:space="preserve">两气体Widom零覆盖Qst之差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eastAsia="SimSun"/>
          <w:b/>
          <w:bCs/>
          <w:color w:val="2F5496"/>
          <w:sz w:val="24"/>
          <w:szCs w:val="24"/>
        </w:rPr>
        <w:t xml:space="preserve">已知冗余关系（项目方前期定量结论，供验证）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六种CO₂ Qst（4个CC + 烟气段 + Widom）为同一“CO₂亲和力”属性的不同测法，两两高度相关（CC与Widom的r≈0.96）；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CO₂捕集量三件套（@0.15bar、VSA工容、TSA工容）高度相关——两个工作容量的被减数即@0.15bar吸附量；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PE_VSA与实际选择性log-log相关r≈−0.96（其低值主要反映选择性好、陪抽N₂少）；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TSA再生热与TSA工作容量强负相关（显热项占比中位85%，被Δq主导），对小工容材料呈非线性放大；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N₂的三个Qst与两个吸附量同属“N₂排斥”维度；Qst差 = CO₂Qst − N₂Qst，是已有列的线性组合，不含新信息。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六、自变量x与建模约束</w:t>
      </w:r>
    </w:p>
    <w:p>
      <w:pPr>
        <w:pStyle w:val="Heading2"/>
        <w:spacing w:after="100" w:before="200"/>
      </w:pPr>
      <w:r>
        <w:rPr>
          <w:rFonts w:ascii="Times New Roman" w:eastAsia="SimSun"/>
          <w:b/>
          <w:bCs/>
          <w:color w:val="2F5496"/>
          <w:sz w:val="24"/>
          <w:szCs w:val="24"/>
        </w:rPr>
        <w:t xml:space="preserve">6.1 x的范围与数据泄漏红线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x只能取自五个结构/组成分块：MOF组成信息（含SMILES、拓扑、SBU）、孔道几何（LCD/PLD/LFPD）、孔体积与表面积、金属与活性位（含OMS）、晶体信息；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红线：GCMC原始数据与由其派生的任何量（含你自建的新指标）只能作为y侧使用，严禁进入x——它们与y同源，用于预测y是循环论证；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构效关系挖掘（第二层任务）中，y建议使用你在第一层选定的指标体系或各维度代表值，保持前后一致。</w:t>
      </w:r>
    </w:p>
    <w:p>
      <w:pPr>
        <w:pStyle w:val="Heading2"/>
        <w:spacing w:after="100" w:before="200"/>
      </w:pPr>
      <w:r>
        <w:rPr>
          <w:rFonts w:ascii="Times New Roman" w:eastAsia="SimSun"/>
          <w:b/>
          <w:bCs/>
          <w:color w:val="2F5496"/>
          <w:sz w:val="24"/>
          <w:szCs w:val="24"/>
        </w:rPr>
        <w:t xml:space="preserve">6.2 x的处理注意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拓扑列约100个UNKNOWN/ERROR，作缺失类别处理；SBU类型84类且极不均衡，主要金属33种（Cu 61、Zn 47），建议合并低频类；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SMILES为文本，请提取可解释化学特征（羧酸根数、含氮杂环、氨基/卤素等官能团、共轭程度）后使用，勿直接one-hot字符串；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晶胞原子数为广延量，优先使用质量分数/密度等强度量；x内部亦有共线（各表面积口径之间、孔体积与LCD），先做相关性诊断；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样本量n=252：必须交叉验证（建议重复k折）并报告不确定度；优先可解释模型（正则化线性、树模型+SHAP/置换重要性），谨慎使用深度模型。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七、期望产出（按序交付）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产出1 指标体系报告：相关性诊断 + 最终纳入/排除清单及理由 + 分组与权重方案 + 重尾处理方式；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产出2 双路线排序：VSA口径与TSA口径各一套252个MOF综合排序（含分维度得分），并给出两套排序的对比分析（哪些MOF两线通吃、哪些偏科）与敏感性检验；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产出3 构效关系图谱：各性能维度的top结构特征重要性（含正负方向）与部分依赖关系，注明置信度；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产出4 设计规则清单：区间化、可操作的规则（如孔径区间、金属节点类型、配体官能团），区分强证据与弱证据；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产出5 结构推荐：3–5个具体MOF组成方案（无机SBU + 配体SMILES/名称 + 拓扑），逐一说明预期表现、依据规则、外推程度；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产出6 局限与下一步建议。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八、已知局限（请在结论中如实体现）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干燥烟气：数据不含水，真实湿烟气中水与CO₂竞争极性位点，本数据会高估强极性位点材料的实际表现（参考Boyd et al., Nature 2019的adsorbaphore思想）；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温度：吸附在298K评价，真实烟气常为313–333K，会轻微高估吸附量与选择性；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单组分近似：CO₂/N₂混合性能由单组分GCMC组合（平衡假设，无双组分竞争修正），为Lin框架标准做法；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样本代表性：252个MOF为CoRE MOF 2019子集，化学空间有限，结构推荐的外推需谨慎并明示；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能耗为热力学/理想估计（未含传质、循环动态、热损失），适用于材料横向排序而非工程绝对值。</w:t>
      </w:r>
    </w:p>
    <w:p>
      <w:pPr>
        <w:pStyle w:val="Heading1"/>
        <w:spacing w:after="140" w:before="260"/>
      </w:pPr>
      <w:r>
        <w:rPr>
          <w:rFonts w:ascii="Times New Roman" w:eastAsia="SimSun"/>
          <w:b/>
          <w:bCs/>
          <w:color w:val="1F3864"/>
          <w:sz w:val="28"/>
          <w:szCs w:val="28"/>
        </w:rPr>
        <w:t xml:space="preserve">九、补充说明</w:t>
      </w:r>
    </w:p>
    <w:p>
      <w:pPr>
        <w:spacing w:after="12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如需对具体MOF做结构级验证（孔道可视化、结合位点分析），可另行索取对应CIF文件；表中几何与组成描述符已由CIF批量提取，常规分析无需CIF原文件。</w:t>
      </w:r>
    </w:p>
    <w:p>
      <w:pPr>
        <w:spacing w:after="0" w:line="300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分析中若发现数据异常（某列分布可疑、某MOF多项指标矛盾），请先列出异常清单并说明处理方式，再进行后续建模。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2026-07-27T14:38:43.086Z</dcterms:created>
  <dcterms:modified xsi:type="dcterms:W3CDTF">2026-07-27T14:38:43.110Z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