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B8FA9">
      <w:pPr>
        <w:pStyle w:val="2"/>
        <w:keepNext w:val="0"/>
        <w:keepLines w:val="0"/>
        <w:widowControl/>
        <w:suppressLineNumbers w:val="0"/>
      </w:pPr>
      <w:r>
        <w:t>几何结构参数</w:t>
      </w:r>
    </w:p>
    <w:p w14:paraId="1CBAFD9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lcd</w:t>
      </w:r>
      <w:r>
        <w:rPr>
          <w:color w:val="FF0000"/>
          <w:highlight w:val="yellow"/>
        </w:rPr>
        <w:t xml:space="preserve"> </w:t>
      </w:r>
      <w:r>
        <w:t>— Largest Cavity Diameter（最大孔腔直径，Å）</w:t>
      </w:r>
      <w:r>
        <w:br w:type="textWrapping"/>
      </w:r>
      <w:r>
        <w:t>孔道中最大球形空腔的直径。反映MOF能容纳的最大客体分子尺寸。</w:t>
      </w:r>
    </w:p>
    <w:p w14:paraId="0CFC91A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pld</w:t>
      </w:r>
      <w:r>
        <w:rPr>
          <w:color w:val="FF0000"/>
          <w:highlight w:val="yellow"/>
        </w:rPr>
        <w:t xml:space="preserve"> </w:t>
      </w:r>
      <w:r>
        <w:t>— Pore Limiting Diameter（孔道限制直径，Å）</w:t>
      </w:r>
      <w:r>
        <w:br w:type="textWrapping"/>
      </w:r>
      <w:r>
        <w:t>客体分子穿越孔道的瓶颈尺寸（即最窄处）。这个参数比lcd更能决定分子能否进入孔道。CO₂动力学直径~3.3 Å，N₂~3.64 Å，所以pld &gt; 3.3 Å是CO₂能进入的必要条件。</w:t>
      </w:r>
    </w:p>
    <w:p w14:paraId="32955141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pld_path</w:t>
      </w:r>
      <w:r>
        <w:t xml:space="preserve"> — PLD对应的路径</w:t>
      </w:r>
      <w:r>
        <w:br w:type="textWrapping"/>
      </w:r>
      <w:r>
        <w:t>最大限制直径所对应的孔道路径（有时是几何路径标识）。</w:t>
      </w:r>
    </w:p>
    <w:p w14:paraId="0F56129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asa_m2_g</w:t>
      </w:r>
      <w:r>
        <w:rPr>
          <w:color w:val="FF0000"/>
          <w:highlight w:val="yellow"/>
        </w:rPr>
        <w:t xml:space="preserve"> </w:t>
      </w:r>
      <w:r>
        <w:t>— Accessible Surface Area（可及表面积，m²/g）</w:t>
      </w:r>
      <w:r>
        <w:br w:type="textWrapping"/>
      </w:r>
      <w:r>
        <w:t>按质量归一化的可及表面积。数值越大，吸附位点越多，通常对应更高的吸附量。</w:t>
      </w:r>
    </w:p>
    <w:p w14:paraId="5CD3CB1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asa_m2_cm3</w:t>
      </w:r>
      <w:r>
        <w:rPr>
          <w:color w:val="FF0000"/>
          <w:highlight w:val="yellow"/>
        </w:rPr>
        <w:t xml:space="preserve"> </w:t>
      </w:r>
      <w:r>
        <w:t>— 可及表面积（m²/cm³）</w:t>
      </w:r>
      <w:r>
        <w:br w:type="textWrapping"/>
      </w:r>
      <w:r>
        <w:t>按体积归一化的表面积，适合比较不同密度的MOF。</w:t>
      </w:r>
    </w:p>
    <w:p w14:paraId="0BE1F0D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void_fraction</w:t>
      </w:r>
      <w:r>
        <w:t xml:space="preserve"> — 孔隙率（无量纲，0~1）</w:t>
      </w:r>
      <w:r>
        <w:br w:type="textWrapping"/>
      </w:r>
      <w:r>
        <w:t>MOF晶胞中空腔体积占总体积的比例。高孔隙率意味着更多空间容纳气体，但密度低可能牺牲体积吸附量。</w:t>
      </w:r>
    </w:p>
    <w:p w14:paraId="1750BFE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pore_vol_cm3_g</w:t>
      </w:r>
      <w:r>
        <w:t xml:space="preserve"> — 孔体积（cm³/g）</w:t>
      </w:r>
      <w:r>
        <w:br w:type="textWrapping"/>
      </w:r>
      <w:r>
        <w:t>单位质量MOF中孔道的总体积。与BET实验测量值对应，是吸附量的重要决定因素。</w:t>
      </w:r>
    </w:p>
    <w:p w14:paraId="564E52C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density_g_cm3</w:t>
      </w:r>
      <w:r>
        <w:t xml:space="preserve"> — 晶体密度（g/cm³）</w:t>
      </w:r>
      <w:r>
        <w:br w:type="textWrapping"/>
      </w:r>
      <w:r>
        <w:t>MOF骨架密度。密度低说明孔隙率高，但体积储气量可能不占优势。</w:t>
      </w:r>
    </w:p>
    <w:p w14:paraId="607767D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uc_volume_A3</w:t>
      </w:r>
      <w:r>
        <w:t xml:space="preserve"> — 晶胞体积（Å³）</w:t>
      </w:r>
      <w:r>
        <w:br w:type="textWrapping"/>
      </w:r>
      <w:r>
        <w:t>晶体学晶胞的体积，是计算所有体积相关性质的基础。</w:t>
      </w:r>
    </w:p>
    <w:p w14:paraId="49FA068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pore_dim</w:t>
      </w:r>
      <w:r>
        <w:t xml:space="preserve"> — 孔道维度（1D / 2D / 3D）</w:t>
      </w:r>
      <w:r>
        <w:br w:type="textWrapping"/>
      </w:r>
      <w:r>
        <w:t>孔道的连通维度。3D互联孔道扩散阻力最小，有利于气体传质。</w:t>
      </w:r>
    </w:p>
    <w:p w14:paraId="5D29382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D5408">
      <w:pPr>
        <w:pStyle w:val="2"/>
        <w:keepNext w:val="0"/>
        <w:keepLines w:val="0"/>
        <w:widowControl/>
        <w:suppressLineNumbers w:val="0"/>
      </w:pPr>
      <w:r>
        <w:t>原子组成参数</w:t>
      </w:r>
    </w:p>
    <w:p w14:paraId="3180507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n_atoms_uc</w:t>
      </w:r>
      <w:r>
        <w:t xml:space="preserve"> — 晶胞中总原子数</w:t>
      </w:r>
      <w:bookmarkStart w:id="0" w:name="_GoBack"/>
      <w:bookmarkEnd w:id="0"/>
    </w:p>
    <w:p w14:paraId="6EB428F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n_elements</w:t>
      </w:r>
      <w:r>
        <w:t xml:space="preserve"> — 元素种类数</w:t>
      </w:r>
    </w:p>
    <w:p w14:paraId="042774C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primary_metal</w:t>
      </w:r>
      <w:r>
        <w:t xml:space="preserve"> — 主要金属元素（如Cu、Zn、Ni等）</w:t>
      </w:r>
      <w:r>
        <w:br w:type="textWrapping"/>
      </w:r>
      <w:r>
        <w:t>决定配位化学、OMS性质和骨架稳定性。</w:t>
      </w:r>
    </w:p>
    <w:p w14:paraId="3DCB2CA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n_metal_atoms</w:t>
      </w:r>
      <w:r>
        <w:t xml:space="preserve"> — 晶胞中金属原子总数</w:t>
      </w:r>
    </w:p>
    <w:p w14:paraId="3E306CE3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n_C / n_H / n_N / n_O / n_F</w:t>
      </w:r>
      <w:r>
        <w:t xml:space="preserve"> — 各元素原子数</w:t>
      </w:r>
      <w:r>
        <w:br w:type="textWrapping"/>
      </w:r>
      <w:r>
        <w:t>有机配体的组成特征。含F元素的MOF疏水性更强；含N通常有Lewis碱位点。</w:t>
      </w:r>
    </w:p>
    <w:p w14:paraId="6953ADE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n_Zn / n_Cu / n_Ni / n_Co</w:t>
      </w:r>
      <w:r>
        <w:rPr>
          <w:color w:val="FF0000"/>
          <w:highlight w:val="yellow"/>
        </w:rPr>
        <w:t xml:space="preserve"> </w:t>
      </w:r>
      <w:r>
        <w:t>— 各金属原子数</w:t>
      </w:r>
      <w:r>
        <w:br w:type="textWrapping"/>
      </w:r>
      <w:r>
        <w:t>直接告知金属节点类型，影响开放金属位点（OMS）的数量和强度。</w:t>
      </w:r>
    </w:p>
    <w:p w14:paraId="66F4042B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has_oms</w:t>
      </w:r>
      <w:r>
        <w:t xml:space="preserve"> — 是否含开放金属位点（Open Metal Sites，布尔值）</w:t>
      </w:r>
      <w:r>
        <w:br w:type="textWrapping"/>
      </w:r>
      <w:r>
        <w:t>OMS是未被溶剂或配体配位饱和的金属中心，对CO₂有额外的静电/配位吸引力，显著提升Qst。这也是力场计算难以精确描述的关键特征（GAZZIS的偏差部分来源于此）。</w:t>
      </w:r>
    </w:p>
    <w:p w14:paraId="1C7A0B7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D0CCF">
      <w:pPr>
        <w:pStyle w:val="2"/>
        <w:keepNext w:val="0"/>
        <w:keepLines w:val="0"/>
        <w:widowControl/>
        <w:suppressLineNumbers w:val="0"/>
      </w:pPr>
      <w:r>
        <w:t>电荷参数</w:t>
      </w:r>
    </w:p>
    <w:p w14:paraId="70B9B52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q_max / q_min / q_mean</w:t>
      </w:r>
      <w:r>
        <w:t xml:space="preserve"> — 晶胞中原子点电荷的最大值、最小值、平均值（单位：e）</w:t>
      </w:r>
      <w:r>
        <w:br w:type="textWrapping"/>
      </w:r>
      <w:r>
        <w:t>来自EQeq/DDEC6等方法的部分电荷分配。电荷分布直接影响GCMC中CO₂与框架的静电相互作用强度，是吸附模拟精度的核心。</w:t>
      </w:r>
    </w:p>
    <w:p w14:paraId="21F730D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charge_source</w:t>
      </w:r>
      <w:r>
        <w:t xml:space="preserve"> — 电荷来源方法</w:t>
      </w:r>
      <w:r>
        <w:br w:type="textWrapping"/>
      </w:r>
      <w:r>
        <w:t>如</w:t>
      </w:r>
      <w:r>
        <w:rPr>
          <w:rStyle w:val="6"/>
        </w:rPr>
        <w:t>EQeq</w:t>
      </w:r>
      <w:r>
        <w:t>（快速半经验）、</w:t>
      </w:r>
      <w:r>
        <w:rPr>
          <w:rStyle w:val="6"/>
        </w:rPr>
        <w:t>DDEC6</w:t>
      </w:r>
      <w:r>
        <w:t>（DFT密度衍生，更准确）、</w:t>
      </w:r>
      <w:r>
        <w:rPr>
          <w:rStyle w:val="6"/>
        </w:rPr>
        <w:t>REPEAT</w:t>
      </w:r>
      <w:r>
        <w:t>等。电荷方法的选择直接影响Henry系数和Qst的可靠性。</w:t>
      </w:r>
    </w:p>
    <w:p w14:paraId="6D70CF5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D0EF7">
      <w:pPr>
        <w:pStyle w:val="2"/>
        <w:keepNext w:val="0"/>
        <w:keepLines w:val="0"/>
        <w:widowControl/>
        <w:suppressLineNumbers w:val="0"/>
      </w:pPr>
      <w:r>
        <w:t>吸附性能参数（GCMC模拟输出）</w:t>
      </w:r>
    </w:p>
    <w:p w14:paraId="5660A79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Henry_CO2</w:t>
      </w:r>
      <w:r>
        <w:t xml:space="preserve"> — CO₂亨利系数（mol/kg/Pa）</w:t>
      </w:r>
      <w:r>
        <w:br w:type="textWrapping"/>
      </w:r>
      <w:r>
        <w:t>零压极限下CO₂吸附量对压力的斜率，反映CO₂与框架在稀释条件下的相互作用强度。与Qst通过van't Hoff方程关联：</w:t>
      </w:r>
    </w:p>
    <w:p w14:paraId="3EA5B3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KH∝exp⁡(QstRT)K_H \propto \exp\left(\frac{Q_{st}}{RT}\right)KH​∝exp(RTQst​​) </w:t>
      </w:r>
    </w:p>
    <w:p w14:paraId="1564736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Qst_CO2</w:t>
      </w:r>
      <w:r>
        <w:t xml:space="preserve"> — CO₂等量吸附热（kJ/mol）</w:t>
      </w:r>
      <w:r>
        <w:br w:type="textWrapping"/>
      </w:r>
      <w:r>
        <w:t>气体吸附时的微分焓变（取正值）。反映框架与CO₂的结合强度：</w:t>
      </w:r>
    </w:p>
    <w:p w14:paraId="30766D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15–25 kJ/mol：物理吸附为主（易再生）</w:t>
      </w:r>
    </w:p>
    <w:p w14:paraId="7C1A5B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25–50 kJ/mol：强物理/弱化学吸附</w:t>
      </w:r>
    </w:p>
    <w:p w14:paraId="19894B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&gt;50 kJ/mol：趋近化学吸附（再生能耗高）</w:t>
      </w:r>
    </w:p>
    <w:p w14:paraId="3EFE1FC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Selectivity</w:t>
      </w:r>
      <w:r>
        <w:rPr>
          <w:color w:val="FF0000"/>
          <w:highlight w:val="yellow"/>
        </w:rPr>
        <w:t xml:space="preserve"> </w:t>
      </w:r>
      <w:r>
        <w:t>— CO₂/N₂选择性（无量纲）</w:t>
      </w:r>
      <w:r>
        <w:br w:type="textWrapping"/>
      </w:r>
      <w:r>
        <w:t>通常定义为亨利系数之比 S=KH,CO2/KH,N2S = K_{H,CO_2}/K_{H,N_2} S=KH,CO2​​/KH,N2​​，或在混合气（15% CO₂/85% N₂）条件下的IAST选择性。烟道气捕集要求S通常 &gt; 20–30。</w:t>
      </w:r>
    </w:p>
    <w:p w14:paraId="76B2FCDE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Qreg_TSA</w:t>
      </w:r>
      <w:r>
        <w:rPr>
          <w:color w:val="FF0000"/>
          <w:highlight w:val="yellow"/>
        </w:rPr>
        <w:t xml:space="preserve"> </w:t>
      </w:r>
      <w:r>
        <w:t>— TSA（变温吸附）再生能耗（kJ/mol CO₂）</w:t>
      </w:r>
      <w:r>
        <w:br w:type="textWrapping"/>
      </w:r>
      <w:r>
        <w:t>从吸附温度（~298K）加热到脱附温度（~363K）所需的总能量，包含：显热（加热骨架和气体）+ 脱附焓。这是你项目的核心优化目标。</w:t>
      </w:r>
    </w:p>
    <w:p w14:paraId="5E62C26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  <w:color w:val="FF0000"/>
          <w:highlight w:val="yellow"/>
        </w:rPr>
        <w:t>Qreg_VSA</w:t>
      </w:r>
      <w:r>
        <w:t xml:space="preserve"> — VSA（变压吸附）再生能耗（kJ/mol CO₂）</w:t>
      </w:r>
      <w:r>
        <w:br w:type="textWrapping"/>
      </w:r>
      <w:r>
        <w:t>通过降压（从~1 bar到~0.1 bar）实现再生所需的等效能耗。VSA适合低温烟道气场景，能耗通常低于TSA，但需要真空设备。</w:t>
      </w:r>
    </w:p>
    <w:p w14:paraId="323F39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5BDAD"/>
    <w:multiLevelType w:val="multilevel"/>
    <w:tmpl w:val="A225B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9E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2026-06-25T11:36:23Z</dcterms:created>
  <dc:creator>yangh</dc:creator>
  <cp:lastModifiedBy>Yang Hao</cp:lastModifiedBy>
  <dcterms:modified xsi:type="dcterms:W3CDTF">2026-06-25T11:37:48Z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eyJoZGlkIjoiYmUyMGU3MjQ5MDMwZDRkZTk1NDVmY2FlYmEzNTI3ZDIiLCJ1c2VySWQiOiIyOTY5OTcxMzUifQ==</vt:lpwstr>
  </property>
  <property fmtid="{D5CDD505-2E9C-101B-9397-08002B2CF9AE}" pid="4" name="ICV">
    <vt:lpwstr>3E4372BA4B824648A3E675C1AE867F84_12</vt:lpwstr>
  </property>
</Properties>
</file>