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b/>
          <w:sz w:val="34"/>
        </w:rPr>
        <w:t xml:space="preserve">DiMA-PPI: Canonical State-Potential Learning for Consistent Protein Binding Mutation Prediction</w:t>
      </w:r>
    </w:p>
    <w:p>
      <w:pPr>
        <w:pStyle w:val="BodyText"/>
        <w:jc w:val="center"/>
      </w:pPr>
      <w:r>
        <w:t xml:space="preserve">Qi Liu</w:t>
      </w:r>
      <w:r>
        <w:rPr>
          <w:vertAlign w:val="superscript"/>
        </w:rPr>
        <w:t xml:space="preserve">1</w:t>
      </w:r>
      <w:r>
        <w:t xml:space="preserve">, Xinyi Xu</w:t>
      </w:r>
      <w:r>
        <w:rPr>
          <w:vertAlign w:val="superscript"/>
        </w:rPr>
        <w:t xml:space="preserve">1</w:t>
      </w:r>
      <w:r>
        <w:t xml:space="preserve">, Qian Cheng</w:t>
      </w:r>
      <w:r>
        <w:rPr>
          <w:vertAlign w:val="superscript"/>
        </w:rPr>
        <w:t xml:space="preserve">1</w:t>
      </w:r>
      <w:r>
        <w:t xml:space="preserve">, Chen Wu</w:t>
      </w:r>
      <w:r>
        <w:rPr>
          <w:vertAlign w:val="superscript"/>
        </w:rPr>
        <w:t xml:space="preserve">1</w:t>
      </w:r>
      <w:r>
        <w:t xml:space="preserve">, Lu Meng</w:t>
      </w:r>
      <w:r>
        <w:rPr>
          <w:vertAlign w:val="superscript"/>
        </w:rPr>
        <w:t xml:space="preserve">1</w:t>
      </w:r>
      <w:r>
        <w:t xml:space="preserve">,</w:t>
      </w:r>
      <w:r>
        <w:t xml:space="preserve"> </w:t>
      </w:r>
      <w:r>
        <w:t xml:space="preserve">Defu Yang</w:t>
      </w:r>
      <w:r>
        <w:rPr>
          <w:vertAlign w:val="superscript"/>
        </w:rPr>
        <w:t xml:space="preserve">2</w:t>
      </w:r>
      <w:r>
        <w:t xml:space="preserve">, Xinbo Gao</w:t>
      </w:r>
      <w:r>
        <w:rPr>
          <w:vertAlign w:val="superscript"/>
        </w:rPr>
        <w:t xml:space="preserve">1</w:t>
      </w:r>
      <w:r>
        <w:t xml:space="preserve">, and Xueli Chen</w:t>
      </w:r>
      <w:r>
        <w:rPr>
          <w:vertAlign w:val="superscript"/>
        </w:rPr>
        <w:t xml:space="preserve">1,2</w:t>
      </w:r>
    </w:p>
    <w:p>
      <w:pPr>
        <w:pStyle w:val="BodyText"/>
        <w:jc w:val="center"/>
      </w:pPr>
      <w:r>
        <w:rPr>
          <w:vertAlign w:val="superscript"/>
        </w:rPr>
        <w:t xml:space="preserve">1</w:t>
      </w:r>
      <w:r>
        <w:t xml:space="preserve">Xidian University, Xi’an, China</w:t>
      </w:r>
    </w:p>
    <w:p>
      <w:pPr>
        <w:pStyle w:val="BodyText"/>
        <w:jc w:val="center"/>
      </w:pPr>
      <w:r>
        <w:rPr>
          <w:vertAlign w:val="superscript"/>
        </w:rPr>
        <w:t xml:space="preserve">2</w:t>
      </w:r>
      <w:r>
        <w:t xml:space="preserve">Hangzhou Normal University, Hangzhou, China</w:t>
      </w:r>
    </w:p>
    <w:p>
      <w:pPr>
        <w:pStyle w:val="BodyText"/>
        <w:jc w:val="center"/>
      </w:pPr>
      <w:r>
        <w:t xml:space="preserve">Correspondence: xyxu@xidian.edu.cn; xbgao@mail.xidian.edu.cn; xlchen@xidian.edu.cn</w:t>
      </w:r>
    </w:p>
    <w:bookmarkStart w:id="10" w:name="abstract"/>
    <w:p>
      <w:pPr>
        <w:pStyle w:val="Heading1"/>
      </w:pPr>
      <w:r>
        <w:t xml:space="preserve">Abstract</w:t>
      </w:r>
    </w:p>
    <w:p>
      <w:pPr>
        <w:pStyle w:val="FirstParagraph"/>
      </w:pPr>
      <w:r>
        <w:t xml:space="preserve">Predicting mutation-induced changes in protein–protein binding free energy</w:t>
      </w:r>
      <w:r>
        <w:t xml:space="preserve"> </w:t>
      </w:r>
      <w:r>
        <w:t xml:space="preserve">supports variant interpretation and protein engineering. Independently</w:t>
      </w:r>
      <w:r>
        <w:t xml:space="preserve"> </w:t>
      </w:r>
      <w:r>
        <w:t xml:space="preserve">predicted substitution effects can produce path-dependent estimates of the</w:t>
      </w:r>
      <w:r>
        <w:t xml:space="preserve"> </w:t>
      </w:r>
      <w:r>
        <w:t xml:space="preserve">binding free-energy difference between the same protein variants. We propose</w:t>
      </w:r>
      <w:r>
        <w:t xml:space="preserve"> </w:t>
      </w:r>
      <w:r>
        <w:t xml:space="preserve">DiMA-PPI, a multimodal graph neural network that enforces path consistency</w:t>
      </w:r>
      <w:r>
        <w:t xml:space="preserve"> </w:t>
      </w:r>
      <w:r>
        <w:t xml:space="preserve">through shared state-potential learning. The model integrates sequence</w:t>
      </w:r>
      <w:r>
        <w:t xml:space="preserve"> </w:t>
      </w:r>
      <w:r>
        <w:t xml:space="preserve">embeddings, structural representations and local atomic descriptors to</w:t>
      </w:r>
      <w:r>
        <w:t xml:space="preserve"> </w:t>
      </w:r>
      <w:r>
        <w:t xml:space="preserve">estimate latent potentials for bound and isolated-chain states. Mutation</w:t>
      </w:r>
      <w:r>
        <w:t xml:space="preserve"> </w:t>
      </w:r>
      <w:r>
        <w:t xml:space="preserve">effects are expressed as differences between the binding potentials of the</w:t>
      </w:r>
      <w:r>
        <w:t xml:space="preserve"> </w:t>
      </w:r>
      <w:r>
        <w:t xml:space="preserve">initial and final variants. Canonical state reuse maintains a single</w:t>
      </w:r>
      <w:r>
        <w:t xml:space="preserve"> </w:t>
      </w:r>
      <w:r>
        <w:t xml:space="preserve">numerical value for each represented state across all predictions.</w:t>
      </w:r>
      <w:r>
        <w:t xml:space="preserve"> </w:t>
      </w:r>
      <w:r>
        <w:t xml:space="preserve">On S1129, comprising 1,129 substitutions from 111 complexes,</w:t>
      </w:r>
      <w:r>
        <w:t xml:space="preserve"> </w:t>
      </w:r>
      <w:r>
        <w:t xml:space="preserve">DiMA-PPI achieves a Pearson correlation coefficient (PCC) of 0.757 and a root mean</w:t>
      </w:r>
      <w:r>
        <w:t xml:space="preserve"> </w:t>
      </w:r>
      <w:r>
        <w:t xml:space="preserve">squared error (RMSE) of 1.542 kcal mol</w:t>
      </w:r>
      <w:r>
        <w:rPr>
          <w:vertAlign w:val="superscript"/>
        </w:rPr>
        <w:t xml:space="preserve">-1</w:t>
      </w:r>
      <w:r>
        <w:t xml:space="preserve">. We further construct PPI-Path92,</w:t>
      </w:r>
      <w:r>
        <w:t xml:space="preserve"> </w:t>
      </w:r>
      <w:r>
        <w:t xml:space="preserve">which contains 92 groups of same-site variants and 9,904 mutant-to-mutant</w:t>
      </w:r>
      <w:r>
        <w:t xml:space="preserve"> </w:t>
      </w:r>
      <w:r>
        <w:t xml:space="preserve">comparisons whose targets are derived from measured effects relative to the</w:t>
      </w:r>
      <w:r>
        <w:t xml:space="preserve"> </w:t>
      </w:r>
      <w:r>
        <w:t xml:space="preserve">wild type.</w:t>
      </w:r>
      <w:r>
        <w:t xml:space="preserve"> </w:t>
      </w:r>
      <w:r>
        <w:t xml:space="preserve">On PPI-Path92, DiMA-PPI achieves an RMSE of 1.611 kcal mol</w:t>
      </w:r>
      <w:r>
        <w:rPr>
          <w:vertAlign w:val="superscript"/>
        </w:rPr>
        <w:t xml:space="preserve">-1</w:t>
      </w:r>
      <w:r>
        <w:t xml:space="preserve"> </w:t>
      </w:r>
      <w:r>
        <w:t xml:space="preserve">and a mean</w:t>
      </w:r>
      <w:r>
        <w:t xml:space="preserve"> </w:t>
      </w:r>
      <w:r>
        <w:t xml:space="preserve">discrepancy of</w:t>
      </w:r>
      <w:r>
        <w:t xml:space="preserve"> </w:t>
      </w:r>
      <m:oMath>
        <m:r>
          <m:t>4.78</m:t>
        </m:r>
        <m:r>
          <m:rPr>
            <m:sty m:val="p"/>
          </m:rPr>
          <m:t>×</m:t>
        </m:r>
        <m:sSup>
          <m:e>
            <m:r>
              <m:t>10</m:t>
            </m:r>
          </m:e>
          <m:sup>
            <m:r>
              <m:rPr>
                <m:sty m:val="p"/>
              </m:rPr>
              <m:t>−</m:t>
            </m:r>
            <m:r>
              <m:t>7</m:t>
            </m:r>
          </m:sup>
        </m:sSup>
      </m:oMath>
      <w:r>
        <w:t xml:space="preserve"> kcal mol</w:t>
      </w:r>
      <w:r>
        <w:rPr>
          <w:vertAlign w:val="superscript"/>
        </w:rPr>
        <w:t xml:space="preserve">-1</w:t>
      </w:r>
      <w:r>
        <w:t xml:space="preserve"> </w:t>
      </w:r>
      <w:r>
        <w:t xml:space="preserve">between direct and</w:t>
      </w:r>
      <w:r>
        <w:t xml:space="preserve"> </w:t>
      </w:r>
      <w:r>
        <w:t xml:space="preserve">multistep predictions. Experiments with fixed model parameters show that</w:t>
      </w:r>
      <w:r>
        <w:t xml:space="preserve"> </w:t>
      </w:r>
      <w:r>
        <w:t xml:space="preserve">state reuse eliminates inconsistencies arising from independent stochastic</w:t>
      </w:r>
      <w:r>
        <w:t xml:space="preserve"> </w:t>
      </w:r>
      <w:r>
        <w:t xml:space="preserve">evaluation and reduces redundant computation. These results support</w:t>
      </w:r>
      <w:r>
        <w:t xml:space="preserve"> </w:t>
      </w:r>
      <w:r>
        <w:t xml:space="preserve">canonical state-potential learning for consistent prediction of binding</w:t>
      </w:r>
      <w:r>
        <w:t xml:space="preserve"> </w:t>
      </w:r>
      <w:r>
        <w:t xml:space="preserve">changes across related protein variants.</w:t>
      </w:r>
    </w:p>
    <w:bookmarkStart w:id="9" w:name="keywords"/>
    <w:p>
      <w:pPr>
        <w:pStyle w:val="Heading4"/>
        <w:keepNext/>
      </w:pPr>
      <w:r>
        <w:t xml:space="preserve">Keywords:</w:t>
      </w:r>
    </w:p>
    <w:p>
      <w:pPr>
        <w:pStyle w:val="FirstParagraph"/>
      </w:pPr>
      <w:r>
        <w:t xml:space="preserve">Graph neural networks, state potentials, protein binding, path consistency.</w:t>
      </w:r>
    </w:p>
    <w:bookmarkEnd w:id="9"/>
    <w:bookmarkEnd w:id="10"/>
    <w:bookmarkStart w:id="11" w:name="introduction"/>
    <w:p>
      <w:pPr>
        <w:pStyle w:val="Heading1"/>
      </w:pPr>
      <w:r>
        <w:t xml:space="preserve">Introduction</w:t>
      </w:r>
    </w:p>
    <w:p>
      <w:pPr>
        <w:pStyle w:val="FirstParagraph"/>
      </w:pPr>
      <w:r>
        <w:t xml:space="preserve">Predicting changes in protein–protein binding free energy following</w:t>
      </w:r>
      <w:r>
        <w:t xml:space="preserve"> </w:t>
      </w:r>
      <w:r>
        <w:t xml:space="preserve">amino-acid substitution is a central task in variant interpretation and</w:t>
      </w:r>
      <w:r>
        <w:t xml:space="preserve"> </w:t>
      </w:r>
      <w:r>
        <w:t xml:space="preserve">protein engineering. Established tools include FoldX [1],</w:t>
      </w:r>
      <w:r>
        <w:t xml:space="preserve"> </w:t>
      </w:r>
      <w:r>
        <w:t xml:space="preserve">MutaBind2 [2], mCSM-PPI2 [3] and</w:t>
      </w:r>
      <w:r>
        <w:t xml:space="preserve"> </w:t>
      </w:r>
      <w:r>
        <w:t xml:space="preserve">DDMut-PPI [4]. Graph neural networks and pretrained protein</w:t>
      </w:r>
      <w:r>
        <w:t xml:space="preserve"> </w:t>
      </w:r>
      <w:r>
        <w:t xml:space="preserve">representations integrate structural and sequence information to estimate</w:t>
      </w:r>
      <w:r>
        <w:t xml:space="preserve"> </w:t>
      </w:r>
      <w:r>
        <w:t xml:space="preserve">these effects [5, 6]. Evaluation on benchmarks such as</w:t>
      </w:r>
      <w:r>
        <w:t xml:space="preserve"> </w:t>
      </w:r>
      <w:r>
        <w:t xml:space="preserve">SKEMPI [7] primarily measures accuracy for individual substitutions.</w:t>
      </w:r>
      <w:r>
        <w:t xml:space="preserve"> </w:t>
      </w:r>
      <w:r>
        <w:t xml:space="preserve">Comparison of related variants additionally requires path consistency:</w:t>
      </w:r>
      <w:r>
        <w:t xml:space="preserve"> </w:t>
      </w:r>
      <w:r>
        <w:t xml:space="preserve">for states</w:t>
      </w:r>
      <w:r>
        <w:t xml:space="preserve"> </w:t>
      </w:r>
      <m:oMath>
        <m:r>
          <m:t>a</m:t>
        </m:r>
      </m:oMath>
      <w:r>
        <w:t xml:space="preserve">,</w:t>
      </w:r>
      <w:r>
        <w:t xml:space="preserve"> </w:t>
      </w:r>
      <m:oMath>
        <m:r>
          <m:t>b</m:t>
        </m:r>
      </m:oMath>
      <w:r>
        <w:t xml:space="preserve"> </w:t>
      </w:r>
      <w:r>
        <w:t xml:space="preserve">and</w:t>
      </w:r>
      <w:r>
        <w:t xml:space="preserve"> </w:t>
      </w:r>
      <m:oMath>
        <m:r>
          <m:t>c</m:t>
        </m:r>
      </m:oMath>
      <w:r>
        <w:t xml:space="preserve"> </w:t>
      </w:r>
      <w:r>
        <w:t xml:space="preserve">under the same modeled conditions, the predicted</w:t>
      </w:r>
      <w:r>
        <w:t xml:space="preserve"> </w:t>
      </w:r>
      <w:r>
        <w:t xml:space="preserve">change from</w:t>
      </w:r>
      <w:r>
        <w:t xml:space="preserve"> </w:t>
      </w:r>
      <m:oMath>
        <m:r>
          <m:t>a</m:t>
        </m:r>
      </m:oMath>
      <w:r>
        <w:t xml:space="preserve"> </w:t>
      </w:r>
      <w:r>
        <w:t xml:space="preserve">to</w:t>
      </w:r>
      <w:r>
        <w:t xml:space="preserve"> </w:t>
      </w:r>
      <m:oMath>
        <m:r>
          <m:t>c</m:t>
        </m:r>
      </m:oMath>
      <w:r>
        <w:t xml:space="preserve"> </w:t>
      </w:r>
      <w:r>
        <w:t xml:space="preserve">should equal the sum of the changes from</w:t>
      </w:r>
      <w:r>
        <w:t xml:space="preserve"> </w:t>
      </w:r>
      <m:oMath>
        <m:r>
          <m:t>a</m:t>
        </m:r>
      </m:oMath>
      <w:r>
        <w:t xml:space="preserve"> </w:t>
      </w:r>
      <w:r>
        <w:t xml:space="preserve">to</w:t>
      </w:r>
      <w:r>
        <w:t xml:space="preserve"> </w:t>
      </w:r>
      <m:oMath>
        <m:r>
          <m:t>b</m:t>
        </m:r>
      </m:oMath>
      <w:r>
        <w:t xml:space="preserve"> </w:t>
      </w:r>
      <w:r>
        <w:t xml:space="preserve">and from</w:t>
      </w:r>
      <w:r>
        <w:t xml:space="preserve"> </w:t>
      </w:r>
      <m:oMath>
        <m:r>
          <m:t>b</m:t>
        </m:r>
      </m:oMath>
      <w:r>
        <w:t xml:space="preserve"> </w:t>
      </w:r>
      <w:r>
        <w:t xml:space="preserve">to</w:t>
      </w:r>
      <w:r>
        <w:t xml:space="preserve"> </w:t>
      </w:r>
      <m:oMath>
        <m:r>
          <m:t>c</m:t>
        </m:r>
      </m:oMath>
      <w:r>
        <w:t xml:space="preserve">. This relation couples predictions across substitutions.</w:t>
      </w:r>
    </w:p>
    <w:p>
      <w:pPr>
        <w:pStyle w:val="BodyText"/>
      </w:pPr>
      <w:r>
        <w:t xml:space="preserve">Reverse-mutation augmentation and antisymmetric prediction address</w:t>
      </w:r>
      <w:r>
        <w:t xml:space="preserve"> </w:t>
      </w:r>
      <w:r>
        <w:t xml:space="preserve">directional bias [8] by relating each substitution to its reverse.</w:t>
      </w:r>
      <w:r>
        <w:t xml:space="preserve"> </w:t>
      </w:r>
      <w:r>
        <w:t xml:space="preserve">Global consistency additionally requires zero accumulated change around</w:t>
      </w:r>
      <w:r>
        <w:t xml:space="preserve"> </w:t>
      </w:r>
      <w:r>
        <w:t xml:space="preserve">closed mutation cycles. Representing protein states as graph nodes and</w:t>
      </w:r>
      <w:r>
        <w:t xml:space="preserve"> </w:t>
      </w:r>
      <w:r>
        <w:t xml:space="preserve">mutation effects as directed edges provides a unified formulation: edge</w:t>
      </w:r>
      <w:r>
        <w:t xml:space="preserve"> </w:t>
      </w:r>
      <w:r>
        <w:t xml:space="preserve">values defined by node-potential differences sum to zero around every cycle,</w:t>
      </w:r>
      <w:r>
        <w:t xml:space="preserve"> </w:t>
      </w:r>
      <w:r>
        <w:t xml:space="preserve">analogous to voltage differences around a circuit loop. Implementing this</w:t>
      </w:r>
      <w:r>
        <w:t xml:space="preserve"> </w:t>
      </w:r>
      <w:r>
        <w:t xml:space="preserve">property requires identical numerical representations of shared states</w:t>
      </w:r>
      <w:r>
        <w:t xml:space="preserve"> </w:t>
      </w:r>
      <w:r>
        <w:t xml:space="preserve">throughout structure preparation and inference.</w:t>
      </w:r>
    </w:p>
    <w:p>
      <w:pPr>
        <w:pStyle w:val="BodyText"/>
      </w:pPr>
      <w:r>
        <w:t xml:space="preserve">StaB-ddG derives binding effects from folding scores [9], while</w:t>
      </w:r>
      <w:r>
        <w:t xml:space="preserve"> </w:t>
      </w:r>
      <w:r>
        <w:t xml:space="preserve">DSSA-PPI uses residue-score differences under a shared conditioning</w:t>
      </w:r>
      <w:r>
        <w:t xml:space="preserve"> </w:t>
      </w:r>
      <w:r>
        <w:t xml:space="preserve">context [6]. We introduce canonical state identity across</w:t>
      </w:r>
      <w:r>
        <w:t xml:space="preserve"> </w:t>
      </w:r>
      <w:r>
        <w:t xml:space="preserve">structure preparation, feature extraction and inference to preserve</w:t>
      </w:r>
      <w:r>
        <w:t xml:space="preserve"> </w:t>
      </w:r>
      <w:r>
        <w:t xml:space="preserve">potential differences throughout the prediction pipeline.</w:t>
      </w:r>
      <w:r>
        <w:t xml:space="preserve"> </w:t>
      </w:r>
      <w:r>
        <w:t xml:space="preserve">DiMA-PPI learns a binding potential from each pair of bound and free</w:t>
      </w:r>
      <w:r>
        <w:t xml:space="preserve"> </w:t>
      </w:r>
      <w:r>
        <w:t xml:space="preserve">representations and reuses canonical state values across mutation queries.</w:t>
      </w:r>
      <w:r>
        <w:t xml:space="preserve"> </w:t>
      </w:r>
      <w:r>
        <w:t xml:space="preserve">We also construct PPI-Path92 from S1129 to evaluate compositional prediction</w:t>
      </w:r>
      <w:r>
        <w:t xml:space="preserve"> </w:t>
      </w:r>
      <w:r>
        <w:t xml:space="preserve">and cycle consistency. Matched model comparisons assess the relationship</w:t>
      </w:r>
      <w:r>
        <w:t xml:space="preserve"> </w:t>
      </w:r>
      <w:r>
        <w:t xml:space="preserve">between predictive accuracy and consistency, while experiments with fixed</w:t>
      </w:r>
      <w:r>
        <w:t xml:space="preserve"> </w:t>
      </w:r>
      <w:r>
        <w:t xml:space="preserve">model parameters quantify the numerical and computational effects of state</w:t>
      </w:r>
      <w:r>
        <w:t xml:space="preserve"> </w:t>
      </w:r>
      <w:r>
        <w:t xml:space="preserve">reuse.</w:t>
      </w:r>
    </w:p>
    <w:bookmarkEnd w:id="11"/>
    <w:bookmarkStart w:id="19" w:name="proposed-method"/>
    <w:p>
      <w:pPr>
        <w:pStyle w:val="Heading1"/>
      </w:pPr>
      <w:r>
        <w:t xml:space="preserve">Proposed Method</w:t>
      </w:r>
    </w:p>
    <w:p>
      <w:pPr>
        <w:pStyle w:val="FirstParagraph"/>
        <w:keepNext/>
      </w:pPr>
      <w:r>
        <w:drawing>
          <wp:inline>
            <wp:extent cx="5334000" cy="3558316"/>
            <wp:effectExtent b="0" l="0" r="0" t="0"/>
            <wp:docPr descr="image" title="" id="13" name="Picture"/>
            <a:graphic>
              <a:graphicData uri="http://schemas.openxmlformats.org/drawingml/2006/picture">
                <pic:pic>
                  <pic:nvPicPr>
                    <pic:cNvPr descr="model figure.jpg" id="14" name="Picture"/>
                    <pic:cNvPicPr>
                      <a:picLocks noChangeArrowheads="1" noChangeAspect="1"/>
                    </pic:cNvPicPr>
                  </pic:nvPicPr>
                  <pic:blipFill>
                    <a:blip r:embed="rId12"/>
                    <a:stretch>
                      <a:fillRect/>
                    </a:stretch>
                  </pic:blipFill>
                  <pic:spPr bwMode="auto">
                    <a:xfrm>
                      <a:off x="0" y="0"/>
                      <a:ext cx="5334000" cy="3558316"/>
                    </a:xfrm>
                    <a:prstGeom prst="rect">
                      <a:avLst/>
                    </a:prstGeom>
                    <a:noFill/>
                    <a:ln w="9525">
                      <a:noFill/>
                      <a:headEnd/>
                      <a:tailEnd/>
                    </a:ln>
                  </pic:spPr>
                </pic:pic>
              </a:graphicData>
            </a:graphic>
          </wp:inline>
        </w:drawing>
      </w:r>
    </w:p>
    <w:p>
      <w:pPr>
        <w:pStyle w:val="BodyText"/>
        <w:spacing w:after="180"/>
      </w:pPr>
      <w:r>
        <w:rPr>
          <w:b/>
          <w:bCs/>
          <w:sz w:val="18"/>
        </w:rPr>
        <w:t xml:space="preserve">Fig. 1.</w:t>
      </w:r>
      <w:r>
        <w:rPr>
          <w:sz w:val="18"/>
        </w:rPr>
        <w:t xml:space="preserve"> </w:t>
      </w:r>
      <w:r>
        <w:rPr>
          <w:sz w:val="18"/>
        </w:rPr>
        <w:t xml:space="preserve">DiMA-PPI architecture. (a) Four bound/free and WT/mutant states are evaluated by a shared network; differences of state scores yield the predicted mutation effect. (b) Gated fusion integrates sequence, backbone and scalar features. (c) Each graph block combines four-head TransformerConv, SiLU, a residual connection and LayerNorm. Three graph blocks are stacked with separate parameters. Site and context readouts are concatenated with projected atomic descriptors before the 288–96–1 scalar head. Canonical state scores are reused across edges.</w:t>
      </w:r>
    </w:p>
    <w:p>
      <w:pPr>
        <w:pStyle w:val="BodyText"/>
      </w:pPr>
      <w:r>
        <w:t xml:space="preserve">Figure 1 summarizes the shared encoder, four-state output and</w:t>
      </w:r>
      <w:r>
        <w:t xml:space="preserve"> </w:t>
      </w:r>
      <w:r>
        <w:t xml:space="preserve">canonical inference procedure.</w:t>
      </w:r>
    </w:p>
    <w:bookmarkStart w:id="15" w:name="canonical-bound-and-free-states"/>
    <w:p>
      <w:pPr>
        <w:pStyle w:val="Heading2"/>
      </w:pPr>
      <w:r>
        <w:t xml:space="preserve">Canonical Bound and Free States</w:t>
      </w:r>
    </w:p>
    <w:p>
      <w:pPr>
        <w:pStyle w:val="FirstParagraph"/>
        <w:keepNext/>
      </w:pPr>
      <w:r>
        <w:t xml:space="preserve">For a fixed complex and substitution site,</w:t>
      </w:r>
      <w:r>
        <w:t xml:space="preserve"> </w:t>
      </w:r>
      <m:oMath>
        <m:sSub>
          <m:e>
            <m:r>
              <m:t>S</m:t>
            </m:r>
          </m:e>
          <m:sub>
            <m:r>
              <m:t>a</m:t>
            </m:r>
          </m:sub>
        </m:sSub>
      </m:oMath>
      <w:r>
        <w:t xml:space="preserve"> </w:t>
      </w:r>
      <w:r>
        <w:t xml:space="preserve">denotes the state with</w:t>
      </w:r>
      <w:r>
        <w:t xml:space="preserve"> </w:t>
      </w:r>
      <w:r>
        <w:t xml:space="preserve">amino-acid identity</w:t>
      </w:r>
      <w:r>
        <w:t xml:space="preserve"> </w:t>
      </w:r>
      <m:oMath>
        <m:r>
          <m:t>a</m:t>
        </m:r>
      </m:oMath>
      <w:r>
        <w:t xml:space="preserve">. Positive</w:t>
      </w:r>
      <w:r>
        <w:t xml:space="preserve"> </w:t>
      </w:r>
      <m:oMath>
        <m:sSub>
          <m:e>
            <m:r>
              <m:t>y</m:t>
            </m:r>
          </m:e>
          <m:sub>
            <m:r>
              <m:t>a</m:t>
            </m:r>
            <m:r>
              <m:rPr>
                <m:sty m:val="p"/>
              </m:rPr>
              <m:t>→</m:t>
            </m:r>
            <m:r>
              <m:t>b</m:t>
            </m:r>
          </m:sub>
        </m:sSub>
        <m:r>
          <m:rPr>
            <m:sty m:val="p"/>
          </m:rPr>
          <m:t>=</m:t>
        </m:r>
        <m:r>
          <m:rPr>
            <m:sty m:val="p"/>
          </m:rPr>
          <m:t>Δ</m:t>
        </m:r>
        <m:r>
          <m:rPr>
            <m:sty m:val="p"/>
          </m:rPr>
          <m:t>Δ</m:t>
        </m:r>
        <m:sSub>
          <m:e>
            <m:r>
              <m:t>G</m:t>
            </m:r>
          </m:e>
          <m:sub>
            <m:r>
              <m:t>a</m:t>
            </m:r>
            <m:r>
              <m:rPr>
                <m:sty m:val="p"/>
              </m:rPr>
              <m:t>→</m:t>
            </m:r>
            <m:r>
              <m:t>b</m:t>
            </m:r>
          </m:sub>
        </m:sSub>
      </m:oMath>
      <w:r>
        <w:t xml:space="preserve"> </w:t>
      </w:r>
      <w:r>
        <w:t xml:space="preserve">follows</w:t>
      </w:r>
      <w:r>
        <w:t xml:space="preserve"> </w:t>
      </w:r>
      <w:r>
        <w:t xml:space="preserve">the benchmark convention of stronger mutant binding. Each state has a bound</w:t>
      </w:r>
      <w:r>
        <w:t xml:space="preserve"> </w:t>
      </w:r>
      <w:r>
        <w:t xml:space="preserve">context</w:t>
      </w:r>
      <w:r>
        <w:t xml:space="preserve"> </w:t>
      </w:r>
      <m:oMath>
        <m:sSubSup>
          <m:e>
            <m:r>
              <m:t>S</m:t>
            </m:r>
          </m:e>
          <m:sub>
            <m:r>
              <m:t>a</m:t>
            </m:r>
          </m:sub>
          <m:sup>
            <m:r>
              <m:t>b</m:t>
            </m:r>
          </m:sup>
        </m:sSubSup>
      </m:oMath>
      <w:r>
        <w:t xml:space="preserve"> </w:t>
      </w:r>
      <w:r>
        <w:t xml:space="preserve">and an isolated-chain free context</w:t>
      </w:r>
      <w:r>
        <w:t xml:space="preserve"> </w:t>
      </w:r>
      <m:oMath>
        <m:sSubSup>
          <m:e>
            <m:r>
              <m:t>S</m:t>
            </m:r>
          </m:e>
          <m:sub>
            <m:r>
              <m:t>a</m:t>
            </m:r>
          </m:sub>
          <m:sup>
            <m:r>
              <m:t>f</m:t>
            </m:r>
          </m:sup>
        </m:sSubSup>
      </m:oMath>
      <w:r>
        <w:t xml:space="preserve">, identified by</w:t>
      </w:r>
    </w:p>
    <w:p>
      <w:pPr>
        <w:pStyle w:val="BodyText"/>
      </w:pPr>
      <m:oMathPara>
        <m:oMathParaPr>
          <m:jc m:val="center"/>
        </m:oMathParaPr>
        <m:oMath>
          <m:r>
            <m:t>k</m:t>
          </m:r>
          <m:r>
            <m:rPr>
              <m:sty m:val="p"/>
            </m:rPr>
            <m:t>(</m:t>
          </m:r>
          <m:r>
            <m:t>a</m:t>
          </m:r>
          <m:r>
            <m:rPr>
              <m:sty m:val="p"/>
            </m:rPr>
            <m:t>,</m:t>
          </m:r>
          <m:r>
            <m:t>c</m:t>
          </m:r>
          <m:r>
            <m:rPr>
              <m:sty m:val="p"/>
            </m:rPr>
            <m:t>)</m:t>
          </m:r>
          <m:r>
            <m:rPr>
              <m:sty m:val="p"/>
            </m:rPr>
            <m:t>=</m:t>
          </m:r>
          <m:r>
            <m:rPr>
              <m:sty m:val="p"/>
            </m:rPr>
            <m:t>(</m:t>
          </m:r>
          <m:r>
            <m:rPr>
              <m:nor/>
              <m:sty m:val="p"/>
            </m:rPr>
            <m:t>complex</m:t>
          </m:r>
          <m:r>
            <m:rPr>
              <m:sty m:val="p"/>
            </m:rPr>
            <m:t>,</m:t>
          </m:r>
          <m:r>
            <m:rPr>
              <m:nor/>
              <m:sty m:val="p"/>
            </m:rPr>
            <m:t>chain</m:t>
          </m:r>
          <m:r>
            <m:rPr>
              <m:sty m:val="p"/>
            </m:rPr>
            <m:t>,</m:t>
          </m:r>
          <m:r>
            <m:rPr>
              <m:nor/>
              <m:sty m:val="p"/>
            </m:rPr>
            <m:t>PDB site</m:t>
          </m:r>
          <m:r>
            <m:rPr>
              <m:sty m:val="p"/>
            </m:rPr>
            <m:t>,</m:t>
          </m:r>
          <m:r>
            <m:t>a</m:t>
          </m:r>
          <m:r>
            <m:rPr>
              <m:sty m:val="p"/>
            </m:rPr>
            <m:t>,</m:t>
          </m:r>
          <m:r>
            <m:t>c</m:t>
          </m:r>
          <m:r>
            <m:rPr>
              <m:sty m:val="p"/>
            </m:rPr>
            <m:t>)</m:t>
          </m:r>
          <m:r>
            <m:rPr>
              <m:sty m:val="p"/>
            </m:rPr>
            <m:t>,</m:t>
          </m:r>
          <m:r>
            <m:t> </m:t>
          </m:r>
          <m:r>
            <m:t>c</m:t>
          </m:r>
          <m:r>
            <m:rPr>
              <m:sty m:val="p"/>
            </m:rPr>
            <m:t>∈</m:t>
          </m:r>
          <m:r>
            <m:rPr>
              <m:sty m:val="p"/>
            </m:rPr>
            <m:t>{</m:t>
          </m:r>
          <m:r>
            <m:t>b</m:t>
          </m:r>
          <m:r>
            <m:rPr>
              <m:sty m:val="p"/>
            </m:rPr>
            <m:t>,</m:t>
          </m:r>
          <m:r>
            <m:t>f</m:t>
          </m:r>
          <m:r>
            <m:rPr>
              <m:sty m:val="p"/>
            </m:rPr>
            <m:t>}</m:t>
          </m:r>
          <m:r>
            <m:rPr>
              <m:sty m:val="p"/>
            </m:rPr>
            <m:t>.</m:t>
          </m:r>
          <m:r>
            <m:t>  </m:t>
          </m:r>
          <m:r>
            <m:rPr>
              <m:nor/>
              <m:sty m:val="p"/>
            </m:rPr>
            <m:t>(1)</m:t>
          </m:r>
        </m:oMath>
      </m:oMathPara>
    </w:p>
    <w:p>
      <w:pPr>
        <w:pStyle w:val="FirstParagraph"/>
      </w:pPr>
      <w:r>
        <w:t xml:space="preserve">Each key maps to one representation selected by source-row order,</w:t>
      </w:r>
      <w:r>
        <w:t xml:space="preserve"> </w:t>
      </w:r>
      <w:r>
        <w:t xml:space="preserve">independently of labels and fold assignments. Repeated occurrences reuse</w:t>
      </w:r>
      <w:r>
        <w:t xml:space="preserve"> </w:t>
      </w:r>
      <w:r>
        <w:t xml:space="preserve">identical sequence features, graph geometry, node masks and atomic</w:t>
      </w:r>
      <w:r>
        <w:t xml:space="preserve"> </w:t>
      </w:r>
      <w:r>
        <w:t xml:space="preserve">descriptors, ensuring a consistent representation of shared intermediate</w:t>
      </w:r>
      <w:r>
        <w:t xml:space="preserve"> </w:t>
      </w:r>
      <w:r>
        <w:t xml:space="preserve">states.</w:t>
      </w:r>
    </w:p>
    <w:p>
      <w:pPr>
        <w:pStyle w:val="BodyText"/>
      </w:pPr>
      <w:r>
        <w:t xml:space="preserve">The reference-backbone graph contains residues within 20 Å of the site.</w:t>
      </w:r>
      <w:r>
        <w:t xml:space="preserve"> </w:t>
      </w:r>
      <w:r>
        <w:t xml:space="preserve">Edges connect residues within 8 Å and sequential neighbors on each chain;</w:t>
      </w:r>
      <w:r>
        <w:t xml:space="preserve"> </w:t>
      </w:r>
      <w:r>
        <w:t xml:space="preserve">16 radial basis functions encode their distances. The bound encoder uses the</w:t>
      </w:r>
      <w:r>
        <w:t xml:space="preserve"> </w:t>
      </w:r>
      <w:r>
        <w:t xml:space="preserve">complex graph. For the free context, cross-chain edges are removed and readout</w:t>
      </w:r>
      <w:r>
        <w:t xml:space="preserve"> </w:t>
      </w:r>
      <w:r>
        <w:t xml:space="preserve">is restricted to the mutated chain. Four 141-dimensional descriptors encode</w:t>
      </w:r>
      <w:r>
        <w:t xml:space="preserve"> </w:t>
      </w:r>
      <w:r>
        <w:t xml:space="preserve">wild-type/mutant and bound/free atomic environments. PyRosetta [10] locally repacks</w:t>
      </w:r>
      <w:r>
        <w:t xml:space="preserve"> </w:t>
      </w:r>
      <w:r>
        <w:t xml:space="preserve">side chains within 8 Å in the bound structures and repacks the isolated</w:t>
      </w:r>
      <w:r>
        <w:t xml:space="preserve"> </w:t>
      </w:r>
      <w:r>
        <w:t xml:space="preserve">mutated chain for the free contexts. Descriptors contain element-distance</w:t>
      </w:r>
      <w:r>
        <w:t xml:space="preserve"> </w:t>
      </w:r>
      <w:r>
        <w:t xml:space="preserve">histograms, substituted-residue element counts, 18 residue-level Rosetta score</w:t>
      </w:r>
      <w:r>
        <w:t xml:space="preserve"> </w:t>
      </w:r>
      <w:r>
        <w:t xml:space="preserve">terms and their local sums.</w:t>
      </w:r>
    </w:p>
    <w:bookmarkEnd w:id="15"/>
    <w:bookmarkStart w:id="16" w:name="shared-multimodal-graph-encoder"/>
    <w:p>
      <w:pPr>
        <w:pStyle w:val="Heading2"/>
      </w:pPr>
      <w:r>
        <w:t xml:space="preserve">Shared Multimodal Graph Encoder</w:t>
      </w:r>
    </w:p>
    <w:p>
      <w:pPr>
        <w:pStyle w:val="FirstParagraph"/>
        <w:keepNext/>
      </w:pPr>
      <w:r>
        <w:t xml:space="preserve">Each residue has an ESM-2 650M embedding</w:t>
      </w:r>
      <w:r>
        <w:t xml:space="preserve"> </w:t>
      </w:r>
      <m:oMath>
        <m:sSubSup>
          <m:e>
            <m:r>
              <m:t>e</m:t>
            </m:r>
          </m:e>
          <m:sub>
            <m:r>
              <m:t>i</m:t>
            </m:r>
          </m:sub>
          <m:sup>
            <m:r>
              <m:t>a</m:t>
            </m:r>
          </m:sup>
        </m:sSubSup>
        <m:r>
          <m:rPr>
            <m:sty m:val="p"/>
          </m:rPr>
          <m:t>∈</m:t>
        </m:r>
        <m:sSup>
          <m:e>
            <m:r>
              <m:rPr>
                <m:scr m:val="double-struck"/>
                <m:sty m:val="p"/>
              </m:rPr>
              <m:t>R</m:t>
            </m:r>
          </m:e>
          <m:sup>
            <m:r>
              <m:t>1280</m:t>
            </m:r>
          </m:sup>
        </m:sSup>
      </m:oMath>
      <w:r>
        <w:t xml:space="preserve"> [11],</w:t>
      </w:r>
      <w:r>
        <w:t xml:space="preserve"> </w:t>
      </w:r>
      <w:r>
        <w:t xml:space="preserve">a ProteinMPNN reference-backbone feature</w:t>
      </w:r>
      <w:r>
        <w:t xml:space="preserve"> </w:t>
      </w:r>
      <m:oMath>
        <m:sSub>
          <m:e>
            <m:r>
              <m:t>p</m:t>
            </m:r>
          </m:e>
          <m:sub>
            <m:r>
              <m:t>i</m:t>
            </m:r>
          </m:sub>
        </m:sSub>
        <m:r>
          <m:rPr>
            <m:sty m:val="p"/>
          </m:rPr>
          <m:t>∈</m:t>
        </m:r>
        <m:sSup>
          <m:e>
            <m:r>
              <m:rPr>
                <m:scr m:val="double-struck"/>
                <m:sty m:val="p"/>
              </m:rPr>
              <m:t>R</m:t>
            </m:r>
          </m:e>
          <m:sup>
            <m:r>
              <m:t>128</m:t>
            </m:r>
          </m:sup>
        </m:sSup>
      </m:oMath>
      <w:r>
        <w:t xml:space="preserve"> [12],</w:t>
      </w:r>
      <w:r>
        <w:t xml:space="preserve"> </w:t>
      </w:r>
      <w:r>
        <w:t xml:space="preserve">and four scalars</w:t>
      </w:r>
      <w:r>
        <w:t xml:space="preserve"> </w:t>
      </w:r>
      <m:oMath>
        <m:sSub>
          <m:e>
            <m:r>
              <m:t>s</m:t>
            </m:r>
          </m:e>
          <m:sub>
            <m:r>
              <m:t>i</m:t>
            </m:r>
          </m:sub>
        </m:sSub>
      </m:oMath>
      <w:r>
        <w:t xml:space="preserve"> </w:t>
      </w:r>
      <w:r>
        <w:t xml:space="preserve">encoding chain membership, site membership and</w:t>
      </w:r>
      <w:r>
        <w:t xml:space="preserve"> </w:t>
      </w:r>
      <w:r>
        <w:t xml:space="preserve">normalized site distance. The single-state sequence block is</w:t>
      </w:r>
      <w:r>
        <w:t xml:space="preserve"> </w:t>
      </w:r>
      <m:oMath>
        <m:sSubSup>
          <m:e>
            <m:r>
              <m:t>u</m:t>
            </m:r>
          </m:e>
          <m:sub>
            <m:r>
              <m:t>i</m:t>
            </m:r>
          </m:sub>
          <m:sup>
            <m:r>
              <m:t>a</m:t>
            </m:r>
          </m:sup>
        </m:sSubSup>
        <m:r>
          <m:rPr>
            <m:sty m:val="p"/>
          </m:rPr>
          <m:t>=</m:t>
        </m:r>
        <m:r>
          <m:rPr>
            <m:sty m:val="p"/>
          </m:rPr>
          <m:t>[</m:t>
        </m:r>
        <m:sSubSup>
          <m:e>
            <m:r>
              <m:t>e</m:t>
            </m:r>
          </m:e>
          <m:sub>
            <m:r>
              <m:t>i</m:t>
            </m:r>
          </m:sub>
          <m:sup>
            <m:r>
              <m:t>a</m:t>
            </m:r>
          </m:sup>
        </m:sSubSup>
        <m:r>
          <m:rPr>
            <m:sty m:val="p"/>
          </m:rPr>
          <m:t>;</m:t>
        </m:r>
        <m:sSubSup>
          <m:e>
            <m:r>
              <m:t>e</m:t>
            </m:r>
          </m:e>
          <m:sub>
            <m:r>
              <m:t>i</m:t>
            </m:r>
          </m:sub>
          <m:sup>
            <m:r>
              <m:t>a</m:t>
            </m:r>
          </m:sup>
        </m:sSubSup>
        <m:r>
          <m:rPr>
            <m:sty m:val="p"/>
          </m:rPr>
          <m:t>;</m:t>
        </m:r>
        <m:r>
          <m:rPr>
            <m:sty m:val="b"/>
          </m:rPr>
          <m:t>0</m:t>
        </m:r>
        <m:r>
          <m:rPr>
            <m:sty m:val="p"/>
          </m:rPr>
          <m:t>]</m:t>
        </m:r>
      </m:oMath>
      <w:r>
        <w:t xml:space="preserve">, which represents a single sequence identity</w:t>
      </w:r>
      <w:r>
        <w:t xml:space="preserve"> </w:t>
      </w:r>
      <w:r>
        <w:t xml:space="preserve">in both embedding blocks and fixes the difference block to zero.</w:t>
      </w:r>
      <w:r>
        <w:t xml:space="preserve"> </w:t>
      </w:r>
      <w:r>
        <w:t xml:space="preserve">A learned gate integrates the sequence and structural features:</w:t>
      </w:r>
    </w:p>
    <w:p>
      <w:pPr>
        <w:pStyle w:val="BodyText"/>
      </w:pPr>
      <m:oMathPara>
        <m:oMathParaPr>
          <m:jc m:val="center"/>
        </m:oMathParaPr>
        <m:oMath>
          <m:sSub>
            <m:e>
              <m:r>
                <m:t>q</m:t>
              </m:r>
            </m:e>
            <m:sub>
              <m:r>
                <m:t>i</m:t>
              </m:r>
            </m:sub>
          </m:sSub>
          <m:r>
            <m:rPr>
              <m:sty m:val="p"/>
            </m:rPr>
            <m:t>=</m:t>
          </m:r>
          <m:sSub>
            <m:e>
              <m:r>
                <m:t>ϕ</m:t>
              </m:r>
            </m:e>
            <m:sub>
              <m:r>
                <m:rPr>
                  <m:sty m:val="p"/>
                </m:rPr>
                <m:t>s</m:t>
              </m:r>
              <m:r>
                <m:rPr>
                  <m:sty m:val="p"/>
                </m:rPr>
                <m:t>e</m:t>
              </m:r>
              <m:r>
                <m:rPr>
                  <m:sty m:val="p"/>
                </m:rPr>
                <m:t>q</m:t>
              </m:r>
            </m:sub>
          </m:sSub>
          <m:r>
            <m:rPr>
              <m:sty m:val="p"/>
            </m:rPr>
            <m:t>(</m:t>
          </m:r>
          <m:sSubSup>
            <m:e>
              <m:r>
                <m:t>u</m:t>
              </m:r>
            </m:e>
            <m:sub>
              <m:r>
                <m:t>i</m:t>
              </m:r>
            </m:sub>
            <m:sup>
              <m:r>
                <m:t>a</m:t>
              </m:r>
            </m:sup>
          </m:sSubSup>
          <m:r>
            <m:rPr>
              <m:sty m:val="p"/>
            </m:rPr>
            <m:t>)</m:t>
          </m:r>
          <m:r>
            <m:rPr>
              <m:sty m:val="p"/>
            </m:rPr>
            <m:t>,</m:t>
          </m:r>
          <m:r>
            <m:t> </m:t>
          </m:r>
          <m:sSub>
            <m:e>
              <m:r>
                <m:t>t</m:t>
              </m:r>
            </m:e>
            <m:sub>
              <m:r>
                <m:t>i</m:t>
              </m:r>
            </m:sub>
          </m:sSub>
          <m:r>
            <m:rPr>
              <m:sty m:val="p"/>
            </m:rPr>
            <m:t>=</m:t>
          </m:r>
          <m:sSub>
            <m:e>
              <m:r>
                <m:t>ϕ</m:t>
              </m:r>
            </m:e>
            <m:sub>
              <m:r>
                <m:rPr>
                  <m:sty m:val="p"/>
                </m:rPr>
                <m:t>s</m:t>
              </m:r>
              <m:r>
                <m:rPr>
                  <m:sty m:val="p"/>
                </m:rPr>
                <m:t>t</m:t>
              </m:r>
              <m:r>
                <m:rPr>
                  <m:sty m:val="p"/>
                </m:rPr>
                <m:t>r</m:t>
              </m:r>
            </m:sub>
          </m:sSub>
          <m:r>
            <m:rPr>
              <m:sty m:val="p"/>
            </m:rPr>
            <m:t>(</m:t>
          </m:r>
          <m:sSub>
            <m:e>
              <m:r>
                <m:t>p</m:t>
              </m:r>
            </m:e>
            <m:sub>
              <m:r>
                <m:t>i</m:t>
              </m:r>
            </m:sub>
          </m:sSub>
          <m:r>
            <m:rPr>
              <m:sty m:val="p"/>
            </m:rPr>
            <m:t>)</m:t>
          </m:r>
          <m:r>
            <m:rPr>
              <m:sty m:val="p"/>
            </m:rPr>
            <m:t>,</m:t>
          </m:r>
        </m:oMath>
      </m:oMathPara>
    </w:p>
    <w:p>
      <w:pPr>
        <w:pStyle w:val="FirstParagraph"/>
      </w:pPr>
      <m:oMathPara>
        <m:oMathParaPr>
          <m:jc m:val="center"/>
        </m:oMathParaPr>
        <m:oMath>
          <m:sSub>
            <m:e>
              <m:r>
                <m:t>g</m:t>
              </m:r>
            </m:e>
            <m:sub>
              <m:r>
                <m:t>i</m:t>
              </m:r>
            </m:sub>
          </m:sSub>
          <m:r>
            <m:rPr>
              <m:sty m:val="p"/>
            </m:rPr>
            <m:t>=</m:t>
          </m:r>
          <m:r>
            <m:t>σ</m:t>
          </m:r>
          <m:r>
            <m:rPr>
              <m:sty m:val="p"/>
            </m:rPr>
            <m:t>(</m:t>
          </m:r>
          <m:sSub>
            <m:e>
              <m:r>
                <m:t>W</m:t>
              </m:r>
            </m:e>
            <m:sub>
              <m:r>
                <m:t>g</m:t>
              </m:r>
            </m:sub>
          </m:sSub>
          <m:r>
            <m:rPr>
              <m:sty m:val="p"/>
            </m:rPr>
            <m:t>[</m:t>
          </m:r>
          <m:sSub>
            <m:e>
              <m:r>
                <m:t>q</m:t>
              </m:r>
            </m:e>
            <m:sub>
              <m:r>
                <m:t>i</m:t>
              </m:r>
            </m:sub>
          </m:sSub>
          <m:r>
            <m:rPr>
              <m:sty m:val="p"/>
            </m:rPr>
            <m:t>;</m:t>
          </m:r>
          <m:sSub>
            <m:e>
              <m:r>
                <m:t>t</m:t>
              </m:r>
            </m:e>
            <m:sub>
              <m:r>
                <m:t>i</m:t>
              </m:r>
            </m:sub>
          </m:sSub>
          <m:r>
            <m:rPr>
              <m:sty m:val="p"/>
            </m:rPr>
            <m:t>;</m:t>
          </m:r>
          <m:sSub>
            <m:e>
              <m:r>
                <m:t>s</m:t>
              </m:r>
            </m:e>
            <m:sub>
              <m:r>
                <m:t>i</m:t>
              </m:r>
            </m:sub>
          </m:sSub>
          <m:r>
            <m:rPr>
              <m:sty m:val="p"/>
            </m:rPr>
            <m:t>]</m:t>
          </m:r>
          <m:r>
            <m:rPr>
              <m:sty m:val="p"/>
            </m:rPr>
            <m:t>+</m:t>
          </m:r>
          <m:sSub>
            <m:e>
              <m:r>
                <m:t>b</m:t>
              </m:r>
            </m:e>
            <m:sub>
              <m:r>
                <m:t>g</m:t>
              </m:r>
            </m:sub>
          </m:sSub>
          <m:r>
            <m:rPr>
              <m:sty m:val="p"/>
            </m:rPr>
            <m:t>)</m:t>
          </m:r>
          <m:r>
            <m:rPr>
              <m:sty m:val="p"/>
            </m:rPr>
            <m:t>,</m:t>
          </m:r>
        </m:oMath>
      </m:oMathPara>
    </w:p>
    <w:p>
      <w:pPr>
        <w:pStyle w:val="FirstParagraph"/>
      </w:pPr>
      <m:oMathPara>
        <m:oMathParaPr>
          <m:jc m:val="center"/>
        </m:oMathParaPr>
        <m:oMath>
          <m:sSubSup>
            <m:e>
              <m:r>
                <m:t>h</m:t>
              </m:r>
            </m:e>
            <m:sub>
              <m:r>
                <m:t>i</m:t>
              </m:r>
            </m:sub>
            <m:sup>
              <m:r>
                <m:rPr>
                  <m:sty m:val="p"/>
                </m:rPr>
                <m:t>(</m:t>
              </m:r>
              <m:r>
                <m:t>0</m:t>
              </m:r>
              <m:r>
                <m:rPr>
                  <m:sty m:val="p"/>
                </m:rPr>
                <m:t>)</m:t>
              </m:r>
            </m:sup>
          </m:sSubSup>
          <m:r>
            <m:rPr>
              <m:sty m:val="p"/>
            </m:rPr>
            <m:t>=</m:t>
          </m:r>
          <m:r>
            <m:rPr>
              <m:nor/>
              <m:sty m:val="p"/>
            </m:rPr>
            <m:t>LN</m:t>
          </m:r>
          <m:r>
            <m:rPr>
              <m:sty m:val="p"/>
            </m:rPr>
            <m:t>(</m:t>
          </m:r>
          <m:sSub>
            <m:e>
              <m:r>
                <m:t>q</m:t>
              </m:r>
            </m:e>
            <m:sub>
              <m:r>
                <m:t>i</m:t>
              </m:r>
            </m:sub>
          </m:sSub>
          <m:r>
            <m:rPr>
              <m:sty m:val="p"/>
            </m:rPr>
            <m:t>+</m:t>
          </m:r>
          <m:sSub>
            <m:e>
              <m:r>
                <m:t>g</m:t>
              </m:r>
            </m:e>
            <m:sub>
              <m:r>
                <m:t>i</m:t>
              </m:r>
            </m:sub>
          </m:sSub>
          <m:r>
            <m:rPr>
              <m:sty m:val="p"/>
            </m:rPr>
            <m:t>⊙</m:t>
          </m:r>
          <m:sSub>
            <m:e>
              <m:r>
                <m:t>t</m:t>
              </m:r>
            </m:e>
            <m:sub>
              <m:r>
                <m:t>i</m:t>
              </m:r>
            </m:sub>
          </m:sSub>
          <m:r>
            <m:rPr>
              <m:sty m:val="p"/>
            </m:rPr>
            <m:t>+</m:t>
          </m:r>
          <m:sSub>
            <m:e>
              <m:r>
                <m:t>W</m:t>
              </m:r>
            </m:e>
            <m:sub>
              <m:r>
                <m:t>s</m:t>
              </m:r>
            </m:sub>
          </m:sSub>
          <m:sSub>
            <m:e>
              <m:r>
                <m:t>s</m:t>
              </m:r>
            </m:e>
            <m:sub>
              <m:r>
                <m:t>i</m:t>
              </m:r>
            </m:sub>
          </m:sSub>
          <m:r>
            <m:rPr>
              <m:sty m:val="p"/>
            </m:rPr>
            <m:t>+</m:t>
          </m:r>
          <m:sSub>
            <m:e>
              <m:r>
                <m:t>b</m:t>
              </m:r>
            </m:e>
            <m:sub>
              <m:r>
                <m:t>s</m:t>
              </m:r>
            </m:sub>
          </m:sSub>
          <m:r>
            <m:rPr>
              <m:sty m:val="p"/>
            </m:rPr>
            <m:t>)</m:t>
          </m:r>
          <m:r>
            <m:rPr>
              <m:sty m:val="p"/>
            </m:rPr>
            <m:t>.</m:t>
          </m:r>
          <m:r>
            <m:t>  </m:t>
          </m:r>
          <m:r>
            <m:rPr>
              <m:nor/>
              <m:sty m:val="p"/>
            </m:rPr>
            <m:t>(2)</m:t>
          </m:r>
        </m:oMath>
      </m:oMathPara>
    </w:p>
    <w:p>
      <w:pPr>
        <w:pStyle w:val="FirstParagraph"/>
        <w:keepNext/>
      </w:pPr>
      <w:r>
        <w:t xml:space="preserve">The projections use linear layers, layer normalization and SiLU. Three</w:t>
      </w:r>
      <w:r>
        <w:t xml:space="preserve"> </w:t>
      </w:r>
      <w:r>
        <w:t xml:space="preserve">TransformerConv layers with four averaged attention heads and hidden width</w:t>
      </w:r>
      <w:r>
        <w:t xml:space="preserve"> </w:t>
      </w:r>
      <w:r>
        <w:t xml:space="preserve">96 propagate messages over the context-specific edges:</w:t>
      </w:r>
    </w:p>
    <w:p>
      <w:pPr>
        <w:pStyle w:val="BodyText"/>
      </w:pPr>
      <m:oMathPara>
        <m:oMathParaPr>
          <m:jc m:val="center"/>
        </m:oMathParaPr>
        <m:oMath>
          <m:sSup>
            <m:e>
              <m:r>
                <m:t>H</m:t>
              </m:r>
            </m:e>
            <m:sup>
              <m:r>
                <m:rPr>
                  <m:sty m:val="p"/>
                </m:rPr>
                <m:t>(</m:t>
              </m:r>
              <m:r>
                <m:t>ℓ</m:t>
              </m:r>
              <m:r>
                <m:rPr>
                  <m:sty m:val="p"/>
                </m:rPr>
                <m:t>+</m:t>
              </m:r>
              <m:r>
                <m:t>1</m:t>
              </m:r>
              <m:r>
                <m:rPr>
                  <m:sty m:val="p"/>
                </m:rPr>
                <m:t>)</m:t>
              </m:r>
            </m:sup>
          </m:sSup>
          <m:r>
            <m:rPr>
              <m:sty m:val="p"/>
            </m:rPr>
            <m:t>=</m:t>
          </m:r>
          <m:r>
            <m:rPr>
              <m:nor/>
              <m:sty m:val="p"/>
            </m:rPr>
            <m:t>LN</m:t>
          </m:r>
          <m:r>
            <m:t>​</m:t>
          </m:r>
          <m:d>
            <m:dPr>
              <m:begChr m:val="["/>
              <m:sepChr m:val=""/>
              <m:endChr m:val="]"/>
              <m:grow/>
            </m:dPr>
            <m:e>
              <m:sSup>
                <m:e>
                  <m:r>
                    <m:t>H</m:t>
                  </m:r>
                </m:e>
                <m:sup>
                  <m:r>
                    <m:rPr>
                      <m:sty m:val="p"/>
                    </m:rPr>
                    <m:t>(</m:t>
                  </m:r>
                  <m:r>
                    <m:t>ℓ</m:t>
                  </m:r>
                  <m:r>
                    <m:rPr>
                      <m:sty m:val="p"/>
                    </m:rPr>
                    <m:t>)</m:t>
                  </m:r>
                </m:sup>
              </m:sSup>
              <m:r>
                <m:rPr>
                  <m:sty m:val="p"/>
                </m:rPr>
                <m:t>+</m:t>
              </m:r>
              <m:r>
                <m:rPr>
                  <m:sty m:val="p"/>
                </m:rPr>
                <m:t>SiLU</m:t>
              </m:r>
              <m:r>
                <m:rPr>
                  <m:sty m:val="p"/>
                </m:rPr>
                <m:t>(</m:t>
              </m:r>
              <m:sSub>
                <m:e>
                  <m:r>
                    <m:rPr>
                      <m:sty m:val="p"/>
                    </m:rPr>
                    <m:t>TConv</m:t>
                  </m:r>
                </m:e>
                <m:sub>
                  <m:r>
                    <m:t>ℓ</m:t>
                  </m:r>
                </m:sub>
              </m:sSub>
              <m:r>
                <m:rPr>
                  <m:sty m:val="p"/>
                </m:rPr>
                <m:t>(</m:t>
              </m:r>
              <m:sSup>
                <m:e>
                  <m:r>
                    <m:t>H</m:t>
                  </m:r>
                </m:e>
                <m:sup>
                  <m:r>
                    <m:rPr>
                      <m:sty m:val="p"/>
                    </m:rPr>
                    <m:t>(</m:t>
                  </m:r>
                  <m:r>
                    <m:t>ℓ</m:t>
                  </m:r>
                  <m:r>
                    <m:rPr>
                      <m:sty m:val="p"/>
                    </m:rPr>
                    <m:t>)</m:t>
                  </m:r>
                </m:sup>
              </m:sSup>
              <m:r>
                <m:rPr>
                  <m:sty m:val="p"/>
                </m:rPr>
                <m:t>,</m:t>
              </m:r>
              <m:sSub>
                <m:e>
                  <m:r>
                    <m:rPr>
                      <m:scr m:val="script"/>
                      <m:sty m:val="p"/>
                    </m:rPr>
                    <m:t>E</m:t>
                  </m:r>
                </m:e>
                <m:sub>
                  <m:r>
                    <m:t>c</m:t>
                  </m:r>
                </m:sub>
              </m:sSub>
              <m:r>
                <m:rPr>
                  <m:sty m:val="p"/>
                </m:rPr>
                <m:t>,</m:t>
              </m:r>
              <m:r>
                <m:t>R</m:t>
              </m:r>
              <m:r>
                <m:rPr>
                  <m:sty m:val="p"/>
                </m:rPr>
                <m:t>)</m:t>
              </m:r>
              <m:r>
                <m:rPr>
                  <m:sty m:val="p"/>
                </m:rPr>
                <m:t>)</m:t>
              </m:r>
            </m:e>
          </m:d>
          <m:r>
            <m:rPr>
              <m:sty m:val="p"/>
            </m:rPr>
            <m:t>.</m:t>
          </m:r>
          <m:r>
            <m:t>  </m:t>
          </m:r>
          <m:r>
            <m:rPr>
              <m:nor/>
              <m:sty m:val="p"/>
            </m:rPr>
            <m:t>(3)</m:t>
          </m:r>
        </m:oMath>
      </m:oMathPara>
    </w:p>
    <w:p>
      <w:pPr>
        <w:pStyle w:val="FirstParagraph"/>
        <w:keepNext/>
      </w:pPr>
      <w:r>
        <w:t xml:space="preserve">Attention pooling produces separate representations of the substitution</w:t>
      </w:r>
      <w:r>
        <w:t xml:space="preserve"> </w:t>
      </w:r>
      <w:r>
        <w:t xml:space="preserve">site and surrounding context, with weights proportional to</w:t>
      </w:r>
      <w:r>
        <w:t xml:space="preserve"> </w:t>
      </w:r>
      <m:oMath>
        <m:r>
          <m:rPr>
            <m:sty m:val="p"/>
          </m:rPr>
          <m:t>exp</m:t>
        </m:r>
        <m:r>
          <m:rPr>
            <m:sty m:val="p"/>
          </m:rPr>
          <m:t>(</m:t>
        </m:r>
        <m:sSup>
          <m:e>
            <m:r>
              <m:t>w</m:t>
            </m:r>
          </m:e>
          <m:sup>
            <m:r>
              <m:rPr>
                <m:sty m:val="p"/>
              </m:rPr>
              <m:t>⊤</m:t>
            </m:r>
          </m:sup>
        </m:sSup>
        <m:sSubSup>
          <m:e>
            <m:r>
              <m:t>h</m:t>
            </m:r>
          </m:e>
          <m:sub>
            <m:r>
              <m:t>i</m:t>
            </m:r>
          </m:sub>
          <m:sup>
            <m:r>
              <m:rPr>
                <m:sty m:val="p"/>
              </m:rPr>
              <m:t>(</m:t>
            </m:r>
            <m:r>
              <m:t>3</m:t>
            </m:r>
            <m:r>
              <m:rPr>
                <m:sty m:val="p"/>
              </m:rPr>
              <m:t>)</m:t>
            </m:r>
          </m:sup>
        </m:sSubSup>
        <m:r>
          <m:rPr>
            <m:sty m:val="p"/>
          </m:rPr>
          <m:t>)</m:t>
        </m:r>
      </m:oMath>
      <w:r>
        <w:t xml:space="preserve"> </w:t>
      </w:r>
      <w:r>
        <w:t xml:space="preserve">within each node set. A shared scalar head maps these</w:t>
      </w:r>
      <w:r>
        <w:t xml:space="preserve"> </w:t>
      </w:r>
      <w:r>
        <w:t xml:space="preserve">representations and the atomic descriptor to a state score:</w:t>
      </w:r>
    </w:p>
    <w:p>
      <w:pPr>
        <w:pStyle w:val="BodyText"/>
      </w:pPr>
      <m:oMathPara>
        <m:oMathParaPr>
          <m:jc m:val="center"/>
        </m:oMathParaPr>
        <m:oMath>
          <m:sSub>
            <m:e>
              <m:r>
                <m:t>E</m:t>
              </m:r>
            </m:e>
            <m:sub>
              <m:r>
                <m:t>θ</m:t>
              </m:r>
            </m:sub>
          </m:sSub>
          <m:r>
            <m:rPr>
              <m:sty m:val="p"/>
            </m:rPr>
            <m:t>(</m:t>
          </m:r>
          <m:sSubSup>
            <m:e>
              <m:r>
                <m:t>S</m:t>
              </m:r>
            </m:e>
            <m:sub>
              <m:r>
                <m:t>a</m:t>
              </m:r>
            </m:sub>
            <m:sup>
              <m:r>
                <m:t>c</m:t>
              </m:r>
            </m:sup>
          </m:sSubSup>
          <m:r>
            <m:rPr>
              <m:sty m:val="p"/>
            </m:rPr>
            <m:t>)</m:t>
          </m:r>
          <m:r>
            <m:rPr>
              <m:sty m:val="p"/>
            </m:rPr>
            <m:t>=</m:t>
          </m:r>
          <m:sSub>
            <m:e>
              <m:r>
                <m:rPr>
                  <m:sty m:val="p"/>
                </m:rPr>
                <m:t>MLP</m:t>
              </m:r>
            </m:e>
            <m:sub>
              <m:r>
                <m:t>θ</m:t>
              </m:r>
            </m:sub>
          </m:sSub>
          <m:r>
            <m:rPr>
              <m:sty m:val="p"/>
            </m:rPr>
            <m:t>(</m:t>
          </m:r>
          <m:r>
            <m:rPr>
              <m:sty m:val="p"/>
            </m:rPr>
            <m:t>[</m:t>
          </m:r>
          <m:sSub>
            <m:e>
              <m:r>
                <m:t>z</m:t>
              </m:r>
            </m:e>
            <m:sub>
              <m:r>
                <m:rPr>
                  <m:sty m:val="p"/>
                </m:rPr>
                <m:t>s</m:t>
              </m:r>
              <m:r>
                <m:rPr>
                  <m:sty m:val="p"/>
                </m:rPr>
                <m:t>i</m:t>
              </m:r>
              <m:r>
                <m:rPr>
                  <m:sty m:val="p"/>
                </m:rPr>
                <m:t>t</m:t>
              </m:r>
              <m:r>
                <m:rPr>
                  <m:sty m:val="p"/>
                </m:rPr>
                <m:t>e</m:t>
              </m:r>
            </m:sub>
          </m:sSub>
          <m:r>
            <m:rPr>
              <m:sty m:val="p"/>
            </m:rPr>
            <m:t>;</m:t>
          </m:r>
          <m:sSub>
            <m:e>
              <m:r>
                <m:t>z</m:t>
              </m:r>
            </m:e>
            <m:sub>
              <m:r>
                <m:rPr>
                  <m:sty m:val="p"/>
                </m:rPr>
                <m:t>c</m:t>
              </m:r>
              <m:r>
                <m:rPr>
                  <m:sty m:val="p"/>
                </m:rPr>
                <m:t>o</m:t>
              </m:r>
              <m:r>
                <m:rPr>
                  <m:sty m:val="p"/>
                </m:rPr>
                <m:t>n</m:t>
              </m:r>
              <m:r>
                <m:rPr>
                  <m:sty m:val="p"/>
                </m:rPr>
                <m:t>t</m:t>
              </m:r>
              <m:r>
                <m:rPr>
                  <m:sty m:val="p"/>
                </m:rPr>
                <m:t>e</m:t>
              </m:r>
              <m:r>
                <m:rPr>
                  <m:sty m:val="p"/>
                </m:rPr>
                <m:t>x</m:t>
              </m:r>
              <m:r>
                <m:rPr>
                  <m:sty m:val="p"/>
                </m:rPr>
                <m:t>t</m:t>
              </m:r>
            </m:sub>
          </m:sSub>
          <m:r>
            <m:rPr>
              <m:sty m:val="p"/>
            </m:rPr>
            <m:t>;</m:t>
          </m:r>
          <m:sSub>
            <m:e>
              <m:r>
                <m:t>ϕ</m:t>
              </m:r>
            </m:e>
            <m:sub>
              <m:r>
                <m:t>d</m:t>
              </m:r>
            </m:sub>
          </m:sSub>
          <m:r>
            <m:rPr>
              <m:sty m:val="p"/>
            </m:rPr>
            <m:t>(</m:t>
          </m:r>
          <m:sSubSup>
            <m:e>
              <m:r>
                <m:t>d</m:t>
              </m:r>
            </m:e>
            <m:sub>
              <m:r>
                <m:t>a</m:t>
              </m:r>
            </m:sub>
            <m:sup>
              <m:r>
                <m:t>c</m:t>
              </m:r>
            </m:sup>
          </m:sSubSup>
          <m:r>
            <m:rPr>
              <m:sty m:val="p"/>
            </m:rPr>
            <m:t>)</m:t>
          </m:r>
          <m:r>
            <m:rPr>
              <m:sty m:val="p"/>
            </m:rPr>
            <m:t>]</m:t>
          </m:r>
          <m:r>
            <m:rPr>
              <m:sty m:val="p"/>
            </m:rPr>
            <m:t>)</m:t>
          </m:r>
          <m:r>
            <m:rPr>
              <m:sty m:val="p"/>
            </m:rPr>
            <m:t>,</m:t>
          </m:r>
          <m:r>
            <m:t>  </m:t>
          </m:r>
          <m:r>
            <m:rPr>
              <m:nor/>
              <m:sty m:val="p"/>
            </m:rPr>
            <m:t>(4)</m:t>
          </m:r>
        </m:oMath>
      </m:oMathPara>
    </w:p>
    <w:p>
      <w:pPr>
        <w:pStyle w:val="FirstParagraph"/>
      </w:pPr>
      <w:r>
        <w:t xml:space="preserve">where</w:t>
      </w:r>
      <w:r>
        <w:t xml:space="preserve"> </w:t>
      </w:r>
      <m:oMath>
        <m:sSub>
          <m:e>
            <m:r>
              <m:t>ϕ</m:t>
            </m:r>
          </m:e>
          <m:sub>
            <m:r>
              <m:t>d</m:t>
            </m:r>
          </m:sub>
        </m:sSub>
      </m:oMath>
      <w:r>
        <w:t xml:space="preserve"> </w:t>
      </w:r>
      <w:r>
        <w:t xml:space="preserve">normalizes and projects the atomic descriptor to width 96.</w:t>
      </w:r>
      <w:r>
        <w:t xml:space="preserve"> </w:t>
      </w:r>
      <w:r>
        <w:t xml:space="preserve">All four evaluations share encoder, projection and scalar-head weights.</w:t>
      </w:r>
    </w:p>
    <w:bookmarkEnd w:id="16"/>
    <w:bookmarkStart w:id="17" w:name="X4a17ddb22cf8bf9795451075ea89596153121c3"/>
    <w:p>
      <w:pPr>
        <w:pStyle w:val="Heading2"/>
      </w:pPr>
      <w:r>
        <w:t xml:space="preserve">Potential Differences and Numerical Identity</w:t>
      </w:r>
    </w:p>
    <w:p>
      <w:pPr>
        <w:pStyle w:val="FirstParagraph"/>
        <w:keepNext/>
      </w:pPr>
      <w:r>
        <w:t xml:space="preserve">Define the latent binding potential and mutation prediction as</w:t>
      </w:r>
    </w:p>
    <w:p>
      <w:pPr>
        <w:pStyle w:val="BodyText"/>
      </w:pPr>
      <m:oMathPara>
        <m:oMathParaPr>
          <m:jc m:val="center"/>
        </m:oMathParaPr>
        <m:oMath>
          <m:sSub>
            <m:e>
              <m:r>
                <m:rPr>
                  <m:sty m:val="p"/>
                </m:rPr>
                <m:t>Φ</m:t>
              </m:r>
            </m:e>
            <m:sub>
              <m:r>
                <m:t>θ</m:t>
              </m:r>
            </m:sub>
          </m:sSub>
          <m:r>
            <m:rPr>
              <m:sty m:val="p"/>
            </m:rPr>
            <m:t>(</m:t>
          </m:r>
          <m:r>
            <m:t>a</m:t>
          </m:r>
          <m:r>
            <m:rPr>
              <m:sty m:val="p"/>
            </m:rPr>
            <m:t>)</m:t>
          </m:r>
          <m:r>
            <m:rPr>
              <m:sty m:val="p"/>
            </m:rPr>
            <m:t>=</m:t>
          </m:r>
          <m:sSub>
            <m:e>
              <m:r>
                <m:t>E</m:t>
              </m:r>
            </m:e>
            <m:sub>
              <m:r>
                <m:t>θ</m:t>
              </m:r>
            </m:sub>
          </m:sSub>
          <m:r>
            <m:rPr>
              <m:sty m:val="p"/>
            </m:rPr>
            <m:t>(</m:t>
          </m:r>
          <m:sSubSup>
            <m:e>
              <m:r>
                <m:t>S</m:t>
              </m:r>
            </m:e>
            <m:sub>
              <m:r>
                <m:t>a</m:t>
              </m:r>
            </m:sub>
            <m:sup>
              <m:r>
                <m:t>b</m:t>
              </m:r>
            </m:sup>
          </m:sSubSup>
          <m:r>
            <m:rPr>
              <m:sty m:val="p"/>
            </m:rPr>
            <m:t>)</m:t>
          </m:r>
          <m:r>
            <m:rPr>
              <m:sty m:val="p"/>
            </m:rPr>
            <m:t>−</m:t>
          </m:r>
          <m:sSub>
            <m:e>
              <m:r>
                <m:t>E</m:t>
              </m:r>
            </m:e>
            <m:sub>
              <m:r>
                <m:t>θ</m:t>
              </m:r>
            </m:sub>
          </m:sSub>
          <m:r>
            <m:rPr>
              <m:sty m:val="p"/>
            </m:rPr>
            <m:t>(</m:t>
          </m:r>
          <m:sSubSup>
            <m:e>
              <m:r>
                <m:t>S</m:t>
              </m:r>
            </m:e>
            <m:sub>
              <m:r>
                <m:t>a</m:t>
              </m:r>
            </m:sub>
            <m:sup>
              <m:r>
                <m:t>f</m:t>
              </m:r>
            </m:sup>
          </m:sSubSup>
          <m:r>
            <m:rPr>
              <m:sty m:val="p"/>
            </m:rPr>
            <m:t>)</m:t>
          </m:r>
          <m:r>
            <m:rPr>
              <m:sty m:val="p"/>
            </m:rPr>
            <m:t>,</m:t>
          </m:r>
          <m:r>
            <m:t>  </m:t>
          </m:r>
          <m:r>
            <m:rPr>
              <m:nor/>
              <m:sty m:val="p"/>
            </m:rPr>
            <m:t>(5)</m:t>
          </m:r>
        </m:oMath>
      </m:oMathPara>
    </w:p>
    <w:p>
      <w:pPr>
        <w:pStyle w:val="FirstParagraph"/>
      </w:pPr>
      <m:oMathPara>
        <m:oMathParaPr>
          <m:jc m:val="center"/>
        </m:oMathParaPr>
        <m:oMath>
          <m:sSub>
            <m:e>
              <m:acc>
                <m:accPr>
                  <m:chr m:val="̂"/>
                </m:accPr>
                <m:e>
                  <m:r>
                    <m:t>y</m:t>
                  </m:r>
                </m:e>
              </m:acc>
            </m:e>
            <m:sub>
              <m:r>
                <m:t>a</m:t>
              </m:r>
              <m:r>
                <m:rPr>
                  <m:sty m:val="p"/>
                </m:rPr>
                <m:t>→</m:t>
              </m:r>
              <m:r>
                <m:t>b</m:t>
              </m:r>
            </m:sub>
          </m:sSub>
          <m:r>
            <m:rPr>
              <m:sty m:val="p"/>
            </m:rPr>
            <m:t>=</m:t>
          </m:r>
          <m:sSub>
            <m:e>
              <m:r>
                <m:rPr>
                  <m:sty m:val="p"/>
                </m:rPr>
                <m:t>Φ</m:t>
              </m:r>
            </m:e>
            <m:sub>
              <m:r>
                <m:t>θ</m:t>
              </m:r>
            </m:sub>
          </m:sSub>
          <m:r>
            <m:rPr>
              <m:sty m:val="p"/>
            </m:rPr>
            <m:t>(</m:t>
          </m:r>
          <m:r>
            <m:t>b</m:t>
          </m:r>
          <m:r>
            <m:rPr>
              <m:sty m:val="p"/>
            </m:rPr>
            <m:t>)</m:t>
          </m:r>
          <m:r>
            <m:rPr>
              <m:sty m:val="p"/>
            </m:rPr>
            <m:t>−</m:t>
          </m:r>
          <m:sSub>
            <m:e>
              <m:r>
                <m:rPr>
                  <m:sty m:val="p"/>
                </m:rPr>
                <m:t>Φ</m:t>
              </m:r>
            </m:e>
            <m:sub>
              <m:r>
                <m:t>θ</m:t>
              </m:r>
            </m:sub>
          </m:sSub>
          <m:r>
            <m:rPr>
              <m:sty m:val="p"/>
            </m:rPr>
            <m:t>(</m:t>
          </m:r>
          <m:r>
            <m:t>a</m:t>
          </m:r>
          <m:r>
            <m:rPr>
              <m:sty m:val="p"/>
            </m:rPr>
            <m:t>)</m:t>
          </m:r>
          <m:r>
            <m:rPr>
              <m:sty m:val="p"/>
            </m:rPr>
            <m:t>.</m:t>
          </m:r>
          <m:r>
            <m:t>  </m:t>
          </m:r>
          <m:r>
            <m:rPr>
              <m:nor/>
              <m:sty m:val="p"/>
            </m:rPr>
            <m:t>(6)</m:t>
          </m:r>
        </m:oMath>
      </m:oMathPara>
    </w:p>
    <w:p>
      <w:pPr>
        <w:pStyle w:val="FirstParagraph"/>
        <w:keepNext/>
      </w:pPr>
      <w:r>
        <w:t xml:space="preserve">For any path, intermediate potentials cancel:</w:t>
      </w:r>
    </w:p>
    <w:p>
      <w:pPr>
        <w:pStyle w:val="BodyText"/>
      </w:pPr>
      <m:oMathPara>
        <m:oMathParaPr>
          <m:jc m:val="center"/>
        </m:oMathParaPr>
        <m:oMath>
          <m:nary>
            <m:naryPr>
              <m:chr m:val="∑"/>
              <m:limLoc m:val="undOvr"/>
              <m:subHide m:val="off"/>
              <m:supHide m:val="off"/>
            </m:naryPr>
            <m:sub>
              <m:r>
                <m:t>ℓ</m:t>
              </m:r>
              <m:r>
                <m:rPr>
                  <m:sty m:val="p"/>
                </m:rPr>
                <m:t>=</m:t>
              </m:r>
              <m:r>
                <m:t>0</m:t>
              </m:r>
            </m:sub>
            <m:sup>
              <m:r>
                <m:t>L</m:t>
              </m:r>
              <m:r>
                <m:rPr>
                  <m:sty m:val="p"/>
                </m:rPr>
                <m:t>−</m:t>
              </m:r>
              <m:r>
                <m:t>1</m:t>
              </m:r>
            </m:sup>
            <m:e>
              <m:sSub>
                <m:e>
                  <m:acc>
                    <m:accPr>
                      <m:chr m:val="̂"/>
                    </m:accPr>
                    <m:e>
                      <m:r>
                        <m:t>y</m:t>
                      </m:r>
                    </m:e>
                  </m:acc>
                </m:e>
                <m:sub>
                  <m:sSub>
                    <m:e>
                      <m:r>
                        <m:t>a</m:t>
                      </m:r>
                    </m:e>
                    <m:sub>
                      <m:r>
                        <m:t>ℓ</m:t>
                      </m:r>
                    </m:sub>
                  </m:sSub>
                  <m:r>
                    <m:rPr>
                      <m:sty m:val="p"/>
                    </m:rPr>
                    <m:t>→</m:t>
                  </m:r>
                  <m:sSub>
                    <m:e>
                      <m:r>
                        <m:t>a</m:t>
                      </m:r>
                    </m:e>
                    <m:sub>
                      <m:r>
                        <m:t>ℓ</m:t>
                      </m:r>
                      <m:r>
                        <m:rPr>
                          <m:sty m:val="p"/>
                        </m:rPr>
                        <m:t>+</m:t>
                      </m:r>
                      <m:r>
                        <m:t>1</m:t>
                      </m:r>
                    </m:sub>
                  </m:sSub>
                </m:sub>
              </m:sSub>
            </m:e>
          </m:nary>
          <m:r>
            <m:rPr>
              <m:sty m:val="p"/>
            </m:rPr>
            <m:t>=</m:t>
          </m:r>
          <m:sSub>
            <m:e>
              <m:r>
                <m:rPr>
                  <m:sty m:val="p"/>
                </m:rPr>
                <m:t>Φ</m:t>
              </m:r>
            </m:e>
            <m:sub>
              <m:r>
                <m:t>θ</m:t>
              </m:r>
            </m:sub>
          </m:sSub>
          <m:r>
            <m:rPr>
              <m:sty m:val="p"/>
            </m:rPr>
            <m:t>(</m:t>
          </m:r>
          <m:sSub>
            <m:e>
              <m:r>
                <m:t>a</m:t>
              </m:r>
            </m:e>
            <m:sub>
              <m:r>
                <m:t>L</m:t>
              </m:r>
            </m:sub>
          </m:sSub>
          <m:r>
            <m:rPr>
              <m:sty m:val="p"/>
            </m:rPr>
            <m:t>)</m:t>
          </m:r>
          <m:r>
            <m:rPr>
              <m:sty m:val="p"/>
            </m:rPr>
            <m:t>−</m:t>
          </m:r>
          <m:sSub>
            <m:e>
              <m:r>
                <m:rPr>
                  <m:sty m:val="p"/>
                </m:rPr>
                <m:t>Φ</m:t>
              </m:r>
            </m:e>
            <m:sub>
              <m:r>
                <m:t>θ</m:t>
              </m:r>
            </m:sub>
          </m:sSub>
          <m:r>
            <m:rPr>
              <m:sty m:val="p"/>
            </m:rPr>
            <m:t>(</m:t>
          </m:r>
          <m:sSub>
            <m:e>
              <m:r>
                <m:t>a</m:t>
              </m:r>
            </m:e>
            <m:sub>
              <m:r>
                <m:t>0</m:t>
              </m:r>
            </m:sub>
          </m:sSub>
          <m:r>
            <m:rPr>
              <m:sty m:val="p"/>
            </m:rPr>
            <m:t>)</m:t>
          </m:r>
          <m:r>
            <m:rPr>
              <m:sty m:val="p"/>
            </m:rPr>
            <m:t>.</m:t>
          </m:r>
          <m:r>
            <m:t>  </m:t>
          </m:r>
          <m:r>
            <m:rPr>
              <m:nor/>
              <m:sty m:val="p"/>
            </m:rPr>
            <m:t>(7)</m:t>
          </m:r>
        </m:oMath>
      </m:oMathPara>
    </w:p>
    <w:p>
      <w:pPr>
        <w:pStyle w:val="FirstParagraph"/>
      </w:pPr>
      <w:r>
        <w:t xml:space="preserve">Equation (7) establishes antisymmetry, path independence</w:t>
      </w:r>
      <w:r>
        <w:t xml:space="preserve"> </w:t>
      </w:r>
      <w:r>
        <w:t xml:space="preserve">and zero cycle sums. For an oriented node–edge incidence matrix</w:t>
      </w:r>
      <w:r>
        <w:t xml:space="preserve"> </w:t>
      </w:r>
      <m:oMath>
        <m:r>
          <m:t>B</m:t>
        </m:r>
      </m:oMath>
      <w:r>
        <w:t xml:space="preserve">, the</w:t>
      </w:r>
      <w:r>
        <w:t xml:space="preserve"> </w:t>
      </w:r>
      <w:r>
        <w:t xml:space="preserve">prediction vector is</w:t>
      </w:r>
      <w:r>
        <w:t xml:space="preserve"> </w:t>
      </w:r>
      <m:oMath>
        <m:sSup>
          <m:e>
            <m:r>
              <m:t>B</m:t>
            </m:r>
          </m:e>
          <m:sup>
            <m:r>
              <m:rPr>
                <m:sty m:val="p"/>
              </m:rPr>
              <m:t>⊤</m:t>
            </m:r>
          </m:sup>
        </m:sSup>
        <m:r>
          <m:rPr>
            <m:sty m:val="b"/>
          </m:rPr>
          <m:t>Φ</m:t>
        </m:r>
      </m:oMath>
      <w:r>
        <w:t xml:space="preserve">, a discrete potential-difference</w:t>
      </w:r>
      <w:r>
        <w:t xml:space="preserve"> </w:t>
      </w:r>
      <w:r>
        <w:t xml:space="preserve">field with zero circulation. In comparison, pairwise antisymmetrization</w:t>
      </w:r>
      <w:r>
        <w:t xml:space="preserve"> </w:t>
      </w:r>
      <m:oMath>
        <m:r>
          <m:rPr>
            <m:sty m:val="p"/>
          </m:rPr>
          <m:t>[</m:t>
        </m:r>
        <m:r>
          <m:t>f</m:t>
        </m:r>
        <m:r>
          <m:rPr>
            <m:sty m:val="p"/>
          </m:rPr>
          <m:t>(</m:t>
        </m:r>
        <m:r>
          <m:t>a</m:t>
        </m:r>
        <m:r>
          <m:rPr>
            <m:sty m:val="p"/>
          </m:rPr>
          <m:t>,</m:t>
        </m:r>
        <m:r>
          <m:t>b</m:t>
        </m:r>
        <m:r>
          <m:rPr>
            <m:sty m:val="p"/>
          </m:rPr>
          <m:t>)</m:t>
        </m:r>
        <m:r>
          <m:rPr>
            <m:sty m:val="p"/>
          </m:rPr>
          <m:t>−</m:t>
        </m:r>
        <m:r>
          <m:t>f</m:t>
        </m:r>
        <m:r>
          <m:rPr>
            <m:sty m:val="p"/>
          </m:rPr>
          <m:t>(</m:t>
        </m:r>
        <m:r>
          <m:t>b</m:t>
        </m:r>
        <m:r>
          <m:rPr>
            <m:sty m:val="p"/>
          </m:rPr>
          <m:t>,</m:t>
        </m:r>
        <m:r>
          <m:t>a</m:t>
        </m:r>
        <m:r>
          <m:rPr>
            <m:sty m:val="p"/>
          </m:rPr>
          <m:t>)</m:t>
        </m:r>
        <m:r>
          <m:rPr>
            <m:sty m:val="p"/>
          </m:rPr>
          <m:t>]</m:t>
        </m:r>
        <m:r>
          <m:rPr>
            <m:sty m:val="p"/>
          </m:rPr>
          <m:t>/</m:t>
        </m:r>
        <m:r>
          <m:t>2</m:t>
        </m:r>
      </m:oMath>
      <w:r>
        <w:t xml:space="preserve"> </w:t>
      </w:r>
      <w:r>
        <w:t xml:space="preserve">constrains the reversal relation.</w:t>
      </w:r>
    </w:p>
    <w:p>
      <w:pPr>
        <w:pStyle w:val="BodyText"/>
      </w:pPr>
      <w:r>
        <w:t xml:space="preserve">Canonical inference preserves the state identity required by</w:t>
      </w:r>
      <w:r>
        <w:t xml:space="preserve"> </w:t>
      </w:r>
      <w:r>
        <w:t xml:space="preserve">Eq. (7). With dropout disabled, each context score can be</w:t>
      </w:r>
      <w:r>
        <w:t xml:space="preserve"> </w:t>
      </w:r>
      <w:r>
        <w:t xml:space="preserve">computed once per checkpoint and reused across all incident edges.</w:t>
      </w:r>
      <w:r>
        <w:t xml:space="preserve"> </w:t>
      </w:r>
      <w:r>
        <w:t xml:space="preserve">For stochastic inference, the same state estimate is reused within each</w:t>
      </w:r>
      <w:r>
        <w:t xml:space="preserve"> </w:t>
      </w:r>
      <w:r>
        <w:t xml:space="preserve">draw. Both procedures preserve cancellation to floating-point precision.</w:t>
      </w:r>
      <w:r>
        <w:t xml:space="preserve"> </w:t>
      </w:r>
      <w:r>
        <w:t xml:space="preserve">Mutation-effect supervision determines potential differences; a common</w:t>
      </w:r>
      <w:r>
        <w:t xml:space="preserve"> </w:t>
      </w:r>
      <w:r>
        <w:t xml:space="preserve">additive offset leaves every prediction invariant. The represented state</w:t>
      </w:r>
      <w:r>
        <w:t xml:space="preserve"> </w:t>
      </w:r>
      <w:r>
        <w:t xml:space="preserve">space is defined by the complex, substitution site and structural context.</w:t>
      </w:r>
    </w:p>
    <w:bookmarkEnd w:id="17"/>
    <w:bookmarkStart w:id="18" w:name="optimization"/>
    <w:p>
      <w:pPr>
        <w:pStyle w:val="Heading2"/>
      </w:pPr>
      <w:r>
        <w:t xml:space="preserve">Optimization</w:t>
      </w:r>
    </w:p>
    <w:p>
      <w:pPr>
        <w:pStyle w:val="FirstParagraph"/>
        <w:keepNext/>
      </w:pPr>
      <w:r>
        <w:t xml:space="preserve">The model is optimized using observed forward mutation effects. With the</w:t>
      </w:r>
      <w:r>
        <w:t xml:space="preserve"> </w:t>
      </w:r>
      <w:r>
        <w:t xml:space="preserve">training-subset target standard deviation</w:t>
      </w:r>
      <w:r>
        <w:t xml:space="preserve"> </w:t>
      </w:r>
      <m:oMath>
        <m:sSub>
          <m:e>
            <m:r>
              <m:t>σ</m:t>
            </m:r>
          </m:e>
          <m:sub>
            <m:r>
              <m:t>y</m:t>
            </m:r>
          </m:sub>
        </m:sSub>
      </m:oMath>
      <w:r>
        <w:t xml:space="preserve"> </w:t>
      </w:r>
      <w:r>
        <w:t xml:space="preserve">and scaled four-state output</w:t>
      </w:r>
      <w:r>
        <w:t xml:space="preserve"> </w:t>
      </w:r>
      <m:oMath>
        <m:sSub>
          <m:e>
            <m:acc>
              <m:accPr>
                <m:chr m:val="̃"/>
              </m:accPr>
              <m:e>
                <m:r>
                  <m:t>y</m:t>
                </m:r>
              </m:e>
            </m:acc>
          </m:e>
          <m:sub>
            <m:r>
              <m:t>θ</m:t>
            </m:r>
          </m:sub>
        </m:sSub>
      </m:oMath>
      <w:r>
        <w:t xml:space="preserve">, the objective is</w:t>
      </w:r>
    </w:p>
    <w:p>
      <w:pPr>
        <w:pStyle w:val="BodyText"/>
      </w:pPr>
      <m:oMathPara>
        <m:oMathParaPr>
          <m:jc m:val="center"/>
        </m:oMathParaPr>
        <m:oMath>
          <m:r>
            <m:rPr>
              <m:scr m:val="script"/>
              <m:sty m:val="p"/>
            </m:rPr>
            <m:t>L</m:t>
          </m:r>
          <m:r>
            <m:rPr>
              <m:sty m:val="p"/>
            </m:rPr>
            <m:t>=</m:t>
          </m:r>
          <m:f>
            <m:fPr>
              <m:type m:val="bar"/>
            </m:fPr>
            <m:num>
              <m:r>
                <m:t>1</m:t>
              </m:r>
            </m:num>
            <m:den>
              <m:r>
                <m:t>N</m:t>
              </m:r>
            </m:den>
          </m:f>
          <m:nary>
            <m:naryPr>
              <m:chr m:val="∑"/>
              <m:limLoc m:val="undOvr"/>
              <m:subHide m:val="off"/>
              <m:supHide m:val="on"/>
            </m:naryPr>
            <m:sub>
              <m:r>
                <m:t>n</m:t>
              </m:r>
            </m:sub>
            <m:sup>
              <m:r>
                <m:t>​</m:t>
              </m:r>
            </m:sup>
            <m:e>
              <m:sSub>
                <m:e>
                  <m:r>
                    <m:rPr>
                      <m:sty m:val="p"/>
                    </m:rPr>
                    <m:t>SmoothL1</m:t>
                  </m:r>
                </m:e>
                <m:sub>
                  <m:r>
                    <m:t>0.5</m:t>
                  </m:r>
                </m:sub>
              </m:sSub>
            </m:e>
          </m:nary>
          <m:r>
            <m:rPr>
              <m:sty m:val="p"/>
            </m:rPr>
            <m:t>(</m:t>
          </m:r>
          <m:sSub>
            <m:e>
              <m:acc>
                <m:accPr>
                  <m:chr m:val="̃"/>
                </m:accPr>
                <m:e>
                  <m:r>
                    <m:t>y</m:t>
                  </m:r>
                </m:e>
              </m:acc>
            </m:e>
            <m:sub>
              <m:r>
                <m:t>θ</m:t>
              </m:r>
            </m:sub>
          </m:sSub>
          <m:r>
            <m:rPr>
              <m:sty m:val="p"/>
            </m:rPr>
            <m:t>(</m:t>
          </m:r>
          <m:sSub>
            <m:e>
              <m:r>
                <m:t>a</m:t>
              </m:r>
            </m:e>
            <m:sub>
              <m:r>
                <m:t>n</m:t>
              </m:r>
            </m:sub>
          </m:sSub>
          <m:r>
            <m:rPr>
              <m:sty m:val="p"/>
            </m:rPr>
            <m:t>,</m:t>
          </m:r>
          <m:sSub>
            <m:e>
              <m:r>
                <m:t>b</m:t>
              </m:r>
            </m:e>
            <m:sub>
              <m:r>
                <m:t>n</m:t>
              </m:r>
            </m:sub>
          </m:sSub>
          <m:r>
            <m:rPr>
              <m:sty m:val="p"/>
            </m:rPr>
            <m:t>)</m:t>
          </m:r>
          <m:r>
            <m:rPr>
              <m:sty m:val="p"/>
            </m:rPr>
            <m:t>−</m:t>
          </m:r>
          <m:sSub>
            <m:e>
              <m:r>
                <m:t>y</m:t>
              </m:r>
            </m:e>
            <m:sub>
              <m:r>
                <m:t>n</m:t>
              </m:r>
            </m:sub>
          </m:sSub>
          <m:r>
            <m:rPr>
              <m:sty m:val="p"/>
            </m:rPr>
            <m:t>/</m:t>
          </m:r>
          <m:sSub>
            <m:e>
              <m:r>
                <m:t>σ</m:t>
              </m:r>
            </m:e>
            <m:sub>
              <m:r>
                <m:t>y</m:t>
              </m:r>
            </m:sub>
          </m:sSub>
          <m:r>
            <m:rPr>
              <m:sty m:val="p"/>
            </m:rPr>
            <m:t>)</m:t>
          </m:r>
          <m:r>
            <m:rPr>
              <m:sty m:val="p"/>
            </m:rPr>
            <m:t>.</m:t>
          </m:r>
          <m:r>
            <m:t>  </m:t>
          </m:r>
          <m:r>
            <m:rPr>
              <m:nor/>
              <m:sty m:val="p"/>
            </m:rPr>
            <m:t>(8)</m:t>
          </m:r>
        </m:oMath>
      </m:oMathPara>
    </w:p>
    <w:p>
      <w:pPr>
        <w:pStyle w:val="FirstParagraph"/>
      </w:pPr>
      <w:r>
        <w:t xml:space="preserve">Predictions are rescaled to physical units by multiplication with</w:t>
      </w:r>
      <w:r>
        <w:t xml:space="preserve"> </w:t>
      </w:r>
      <m:oMath>
        <m:sSub>
          <m:e>
            <m:r>
              <m:t>σ</m:t>
            </m:r>
          </m:e>
          <m:sub>
            <m:r>
              <m:t>y</m:t>
            </m:r>
          </m:sub>
        </m:sSub>
      </m:oMath>
      <w:r>
        <w:t xml:space="preserve">, with the additive offset fixed at zero. The objective consists</w:t>
      </w:r>
      <w:r>
        <w:t xml:space="preserve"> </w:t>
      </w:r>
      <w:r>
        <w:t xml:space="preserve">solely of the forward-prediction loss; consistency is imposed by the output</w:t>
      </w:r>
      <w:r>
        <w:t xml:space="preserve"> </w:t>
      </w:r>
      <w:r>
        <w:t xml:space="preserve">parameterization. AdamW uses learning rate</w:t>
      </w:r>
      <w:r>
        <w:t xml:space="preserve"> </w:t>
      </w:r>
      <m:oMath>
        <m:r>
          <m:t>5</m:t>
        </m:r>
        <m:r>
          <m:rPr>
            <m:sty m:val="p"/>
          </m:rPr>
          <m:t>×</m:t>
        </m:r>
        <m:sSup>
          <m:e>
            <m:r>
              <m:t>10</m:t>
            </m:r>
          </m:e>
          <m:sup>
            <m:r>
              <m:rPr>
                <m:sty m:val="p"/>
              </m:rPr>
              <m:t>−</m:t>
            </m:r>
            <m:r>
              <m:t>4</m:t>
            </m:r>
          </m:sup>
        </m:sSup>
      </m:oMath>
      <w:r>
        <w:t xml:space="preserve">,</w:t>
      </w:r>
      <w:r>
        <w:t xml:space="preserve"> </w:t>
      </w:r>
      <w:r>
        <w:t xml:space="preserve">weight decay</w:t>
      </w:r>
      <w:r>
        <w:t xml:space="preserve"> </w:t>
      </w:r>
      <m:oMath>
        <m:sSup>
          <m:e>
            <m:r>
              <m:t>10</m:t>
            </m:r>
          </m:e>
          <m:sup>
            <m:r>
              <m:rPr>
                <m:sty m:val="p"/>
              </m:rPr>
              <m:t>−</m:t>
            </m:r>
            <m:r>
              <m:t>4</m:t>
            </m:r>
          </m:sup>
        </m:sSup>
      </m:oMath>
      <w:r>
        <w:t xml:space="preserve">, batch size 8 and dropout 0.15. Training runs for up to</w:t>
      </w:r>
      <w:r>
        <w:t xml:space="preserve"> </w:t>
      </w:r>
      <w:r>
        <w:t xml:space="preserve">60 epochs with validation-MSE early stopping and patience 10.</w:t>
      </w:r>
    </w:p>
    <w:bookmarkEnd w:id="18"/>
    <w:bookmarkEnd w:id="19"/>
    <w:bookmarkStart w:id="28" w:name="experiments-and-results"/>
    <w:p>
      <w:pPr>
        <w:pStyle w:val="Heading1"/>
      </w:pPr>
      <w:r>
        <w:t xml:space="preserve">Experiments and Results</w:t>
      </w:r>
    </w:p>
    <w:p>
      <w:pPr>
        <w:pStyle w:val="FirstParagraph"/>
        <w:keepNext/>
      </w:pPr>
      <w:r>
        <w:drawing>
          <wp:inline>
            <wp:extent cx="5334000" cy="1639146"/>
            <wp:effectExtent b="0" l="0" r="0" t="0"/>
            <wp:docPr descr="image" title="" id="21" name="Picture"/>
            <a:graphic>
              <a:graphicData uri="http://schemas.openxmlformats.org/drawingml/2006/picture">
                <pic:pic>
                  <pic:nvPicPr>
                    <pic:cNvPr descr="fig_results.png" id="22" name="Picture"/>
                    <pic:cNvPicPr>
                      <a:picLocks noChangeArrowheads="1" noChangeAspect="1"/>
                    </pic:cNvPicPr>
                  </pic:nvPicPr>
                  <pic:blipFill>
                    <a:blip r:embed="rId20"/>
                    <a:stretch>
                      <a:fillRect/>
                    </a:stretch>
                  </pic:blipFill>
                  <pic:spPr bwMode="auto">
                    <a:xfrm>
                      <a:off x="0" y="0"/>
                      <a:ext cx="5334000" cy="1639146"/>
                    </a:xfrm>
                    <a:prstGeom prst="rect">
                      <a:avLst/>
                    </a:prstGeom>
                    <a:noFill/>
                    <a:ln w="9525">
                      <a:noFill/>
                      <a:headEnd/>
                      <a:tailEnd/>
                    </a:ln>
                  </pic:spPr>
                </pic:pic>
              </a:graphicData>
            </a:graphic>
          </wp:inline>
        </w:drawing>
      </w:r>
    </w:p>
    <w:p>
      <w:pPr>
        <w:pStyle w:val="BodyText"/>
        <w:spacing w:after="180"/>
      </w:pPr>
      <w:r>
        <w:rPr>
          <w:b/>
          <w:bCs/>
          <w:sz w:val="18"/>
        </w:rPr>
        <w:t xml:space="preserve">Fig. 2.</w:t>
      </w:r>
      <w:r>
        <w:rPr>
          <w:sz w:val="18"/>
        </w:rPr>
        <w:t xml:space="preserve"> </w:t>
      </w:r>
      <w:r>
        <w:rPr>
          <w:sz w:val="18"/>
        </w:rPr>
        <w:t xml:space="preserve">Evaluation on PPI-Path92. (a) RMSE of native mutant-to-mutant</w:t>
      </w:r>
      <w:r>
        <w:rPr>
          <w:sz w:val="18"/>
        </w:rPr>
        <w:t xml:space="preserve"> </w:t>
      </w:r>
      <w:r>
        <w:rPr>
          <w:sz w:val="18"/>
        </w:rPr>
        <w:t xml:space="preserve">predictions and composition of predicted WT effects, evaluated against</w:t>
      </w:r>
      <w:r>
        <w:rPr>
          <w:sz w:val="18"/>
        </w:rPr>
        <w:t xml:space="preserve"> </w:t>
      </w:r>
      <w:r>
        <w:rPr>
          <w:sz w:val="18"/>
        </w:rPr>
        <w:t xml:space="preserve">differences of measured WT effects. Bars and error bars denote the mean</w:t>
      </w:r>
      <w:r>
        <w:rPr>
          <w:sz w:val="18"/>
        </w:rPr>
        <w:t xml:space="preserve"> </w:t>
      </w:r>
      <w:r>
        <w:rPr>
          <w:sz w:val="18"/>
        </w:rPr>
        <w:t xml:space="preserve">and sample SD across five seeds. (b) Consistency residuals under independent</w:t>
      </w:r>
      <w:r>
        <w:rPr>
          <w:sz w:val="18"/>
        </w:rPr>
        <w:t xml:space="preserve"> </w:t>
      </w:r>
      <w:r>
        <w:rPr>
          <w:sz w:val="18"/>
        </w:rPr>
        <w:t xml:space="preserve">state sampling with fixed StaB-ddG parameters. Canonical reuse yields zero</w:t>
      </w:r>
      <w:r>
        <w:rPr>
          <w:sz w:val="18"/>
        </w:rPr>
        <w:t xml:space="preserve"> </w:t>
      </w:r>
      <w:r>
        <w:rPr>
          <w:sz w:val="18"/>
        </w:rPr>
        <w:t xml:space="preserve">measured residuals at all sample counts, as indicated below the curves.</w:t>
      </w:r>
    </w:p>
    <w:bookmarkStart w:id="23" w:name="datasets-and-evaluation-protocol"/>
    <w:p>
      <w:pPr>
        <w:pStyle w:val="Heading2"/>
      </w:pPr>
      <w:r>
        <w:t xml:space="preserve">Datasets and Evaluation Protocol</w:t>
      </w:r>
    </w:p>
    <w:p>
      <w:pPr>
        <w:pStyle w:val="FirstParagraph"/>
      </w:pPr>
      <w:r>
        <w:rPr>
          <w:b/>
          <w:bCs/>
        </w:rPr>
        <w:t xml:space="preserve">S1129.</w:t>
      </w:r>
      <w:r>
        <w:t xml:space="preserve"> </w:t>
      </w:r>
      <w:r>
        <w:t xml:space="preserve">The public benchmark contains 1,129 single substitutions</w:t>
      </w:r>
      <w:r>
        <w:t xml:space="preserve"> </w:t>
      </w:r>
      <w:r>
        <w:t xml:space="preserve">from 111 complexes following the two official exclusions from S1131. We use the five predefined complex-disjoint</w:t>
      </w:r>
      <w:r>
        <w:t xml:space="preserve"> </w:t>
      </w:r>
      <w:r>
        <w:t xml:space="preserve">outer folds from the DSSA-PPI protocol [6], with test sizes 169,</w:t>
      </w:r>
      <w:r>
        <w:t xml:space="preserve"> </w:t>
      </w:r>
      <w:r>
        <w:t xml:space="preserve">142, 271, 252 and 295. Approximately one eighth of each outer training fold</w:t>
      </w:r>
      <w:r>
        <w:t xml:space="preserve"> </w:t>
      </w:r>
      <w:r>
        <w:t xml:space="preserve">is reserved for validation using a seeded mutation-level split; complexes</w:t>
      </w:r>
      <w:r>
        <w:t xml:space="preserve"> </w:t>
      </w:r>
      <w:r>
        <w:t xml:space="preserve">may therefore occur in both fitting and validation subsets. We report the mean and sample SD across seeds 42–46 after averaging</w:t>
      </w:r>
      <w:r>
        <w:t xml:space="preserve"> </w:t>
      </w:r>
      <w:r>
        <w:t xml:space="preserve">per-fold metrics within each seed. PCC, Spearman correlation and RMSE</w:t>
      </w:r>
      <w:r>
        <w:t xml:space="preserve"> </w:t>
      </w:r>
      <w:r>
        <w:t xml:space="preserve">measure linear association, rank agreement and error magnitude, respectively.</w:t>
      </w:r>
    </w:p>
    <w:p>
      <w:pPr>
        <w:pStyle w:val="BodyText"/>
        <w:keepNext/>
      </w:pPr>
      <w:r>
        <w:rPr>
          <w:b/>
          <w:bCs/>
        </w:rPr>
        <w:t xml:space="preserve">PPI-Path92.</w:t>
      </w:r>
      <w:r>
        <w:t xml:space="preserve"> </w:t>
      </w:r>
      <w:r>
        <w:t xml:space="preserve">We construct the Protein–Protein Interaction Mutation</w:t>
      </w:r>
      <w:r>
        <w:t xml:space="preserve"> </w:t>
      </w:r>
      <w:r>
        <w:t xml:space="preserve">Path Benchmark (PPI-Path92) from repeated-site measurements in S1129.</w:t>
      </w:r>
      <w:r>
        <w:t xml:space="preserve"> </w:t>
      </w:r>
      <w:r>
        <w:t xml:space="preserve">Measurements are grouped by complex, chain, PDB site and WT residue. Sites</w:t>
      </w:r>
      <w:r>
        <w:t xml:space="preserve"> </w:t>
      </w:r>
      <w:r>
        <w:t xml:space="preserve">with at least two distinct measured mutant variants are retained, with</w:t>
      </w:r>
      <w:r>
        <w:t xml:space="preserve"> </w:t>
      </w:r>
      <w:r>
        <w:t xml:space="preserve">duplicate records resolved by selecting the earliest source row. The resulting benchmark</w:t>
      </w:r>
      <w:r>
        <w:t xml:space="preserve"> </w:t>
      </w:r>
      <w:r>
        <w:t xml:space="preserve">contains 92 site panels from 27 complexes and 793 amino-acid states.</w:t>
      </w:r>
      <w:r>
        <w:t xml:space="preserve"> </w:t>
      </w:r>
      <w:r>
        <w:t xml:space="preserve">For each ordered mutant pair, the target is</w:t>
      </w:r>
    </w:p>
    <w:p>
      <w:pPr>
        <w:pStyle w:val="BodyText"/>
      </w:pPr>
      <m:oMathPara>
        <m:oMathParaPr>
          <m:jc m:val="center"/>
        </m:oMathParaPr>
        <m:oMath>
          <m:sSubSup>
            <m:e>
              <m:r>
                <m:t>y</m:t>
              </m:r>
            </m:e>
            <m:sub>
              <m:r>
                <m:t>b</m:t>
              </m:r>
              <m:r>
                <m:rPr>
                  <m:sty m:val="p"/>
                </m:rPr>
                <m:t>→</m:t>
              </m:r>
              <m:r>
                <m:t>c</m:t>
              </m:r>
            </m:sub>
            <m:sup>
              <m:r>
                <m:rPr>
                  <m:sty m:val="p"/>
                </m:rPr>
                <m:t>d</m:t>
              </m:r>
              <m:r>
                <m:rPr>
                  <m:sty m:val="p"/>
                </m:rPr>
                <m:t>e</m:t>
              </m:r>
              <m:r>
                <m:rPr>
                  <m:sty m:val="p"/>
                </m:rPr>
                <m:t>r</m:t>
              </m:r>
              <m:r>
                <m:rPr>
                  <m:sty m:val="p"/>
                </m:rPr>
                <m:t>i</m:t>
              </m:r>
              <m:r>
                <m:rPr>
                  <m:sty m:val="p"/>
                </m:rPr>
                <m:t>v</m:t>
              </m:r>
              <m:r>
                <m:rPr>
                  <m:sty m:val="p"/>
                </m:rPr>
                <m:t>e</m:t>
              </m:r>
              <m:r>
                <m:rPr>
                  <m:sty m:val="p"/>
                </m:rPr>
                <m:t>d</m:t>
              </m:r>
            </m:sup>
          </m:sSubSup>
          <m:r>
            <m:rPr>
              <m:sty m:val="p"/>
            </m:rPr>
            <m:t>=</m:t>
          </m:r>
          <m:sSub>
            <m:e>
              <m:r>
                <m:t>y</m:t>
              </m:r>
            </m:e>
            <m:sub>
              <m:r>
                <m:rPr>
                  <m:sty m:val="p"/>
                </m:rPr>
                <m:t>W</m:t>
              </m:r>
              <m:r>
                <m:rPr>
                  <m:sty m:val="p"/>
                </m:rPr>
                <m:t>T</m:t>
              </m:r>
              <m:r>
                <m:rPr>
                  <m:sty m:val="p"/>
                </m:rPr>
                <m:t>→</m:t>
              </m:r>
              <m:r>
                <m:t>c</m:t>
              </m:r>
            </m:sub>
          </m:sSub>
          <m:r>
            <m:rPr>
              <m:sty m:val="p"/>
            </m:rPr>
            <m:t>−</m:t>
          </m:r>
          <m:sSub>
            <m:e>
              <m:r>
                <m:t>y</m:t>
              </m:r>
            </m:e>
            <m:sub>
              <m:r>
                <m:rPr>
                  <m:sty m:val="p"/>
                </m:rPr>
                <m:t>W</m:t>
              </m:r>
              <m:r>
                <m:rPr>
                  <m:sty m:val="p"/>
                </m:rPr>
                <m:t>T</m:t>
              </m:r>
              <m:r>
                <m:rPr>
                  <m:sty m:val="p"/>
                </m:rPr>
                <m:t>→</m:t>
              </m:r>
              <m:r>
                <m:t>b</m:t>
              </m:r>
            </m:sub>
          </m:sSub>
          <m:r>
            <m:rPr>
              <m:sty m:val="p"/>
            </m:rPr>
            <m:t>.</m:t>
          </m:r>
          <m:r>
            <m:t>  </m:t>
          </m:r>
          <m:r>
            <m:rPr>
              <m:nor/>
              <m:sty m:val="p"/>
            </m:rPr>
            <m:t>(9)</m:t>
          </m:r>
        </m:oMath>
      </m:oMathPara>
    </w:p>
    <w:p>
      <w:pPr>
        <w:pStyle w:val="FirstParagraph"/>
      </w:pPr>
      <w:r>
        <w:t xml:space="preserve">PPI-Path92 contains 9,904 mutant-to-mutant comparisons with targets defined</w:t>
      </w:r>
      <w:r>
        <w:t xml:space="preserve"> </w:t>
      </w:r>
      <w:r>
        <w:t xml:space="preserve">by Eq. (9). Native predictions evaluate each mutant pair</w:t>
      </w:r>
      <w:r>
        <w:t xml:space="preserve"> </w:t>
      </w:r>
      <w:r>
        <w:t xml:space="preserve">directly; endpoint composition subtracts the corresponding predicted WT</w:t>
      </w:r>
      <w:r>
        <w:t xml:space="preserve"> </w:t>
      </w:r>
      <w:r>
        <w:t xml:space="preserve">effects. Including WT edges, the state graphs contain</w:t>
      </w:r>
      <w:r>
        <w:t xml:space="preserve"> </w:t>
      </w:r>
      <w:r>
        <w:t xml:space="preserve">11,306 directed edges, supporting 5,653 reverse comparisons, 9,904 ordered</w:t>
      </w:r>
      <w:r>
        <w:t xml:space="preserve"> </w:t>
      </w:r>
      <w:r>
        <w:t xml:space="preserve">paths, 31,922 triangles and 133,736 four-state cycles per seed. Each panel</w:t>
      </w:r>
      <w:r>
        <w:t xml:space="preserve"> </w:t>
      </w:r>
      <w:r>
        <w:t xml:space="preserve">inherits the S1129 outer fold of its source complex, preserving</w:t>
      </w:r>
      <w:r>
        <w:t xml:space="preserve"> </w:t>
      </w:r>
      <w:r>
        <w:t xml:space="preserve">complex-disjoint evaluation.</w:t>
      </w:r>
    </w:p>
    <w:p>
      <w:pPr>
        <w:pStyle w:val="BodyText"/>
      </w:pPr>
      <w:r>
        <w:t xml:space="preserve">Matched controls share residue-graph inputs and training settings: an</w:t>
      </w:r>
      <w:r>
        <w:t xml:space="preserve"> </w:t>
      </w:r>
      <w:r>
        <w:t xml:space="preserve">unconstrained pairwise regressor, reverse-label supervision, a soft reverse</w:t>
      </w:r>
      <w:r>
        <w:t xml:space="preserve"> </w:t>
      </w:r>
      <w:r>
        <w:t xml:space="preserve">consistency penalty (weight 0.20), hard pairwise antisymmetry, and a shared</w:t>
      </w:r>
      <w:r>
        <w:t xml:space="preserve"> </w:t>
      </w:r>
      <w:r>
        <w:t xml:space="preserve">potential without atomic state descriptors. Reverse and path residuals are</w:t>
      </w:r>
      <w:r>
        <w:t xml:space="preserve"> </w:t>
      </w:r>
      <m:oMath>
        <m:d>
          <m:dPr>
            <m:begChr m:val="|"/>
            <m:sepChr m:val=""/>
            <m:endChr m:val="|"/>
            <m:grow/>
          </m:dPr>
          <m:e>
            <m:sSub>
              <m:e>
                <m:acc>
                  <m:accPr>
                    <m:chr m:val="̂"/>
                  </m:accPr>
                  <m:e>
                    <m:r>
                      <m:t>y</m:t>
                    </m:r>
                  </m:e>
                </m:acc>
              </m:e>
              <m:sub>
                <m:r>
                  <m:t>a</m:t>
                </m:r>
                <m:r>
                  <m:rPr>
                    <m:sty m:val="p"/>
                  </m:rPr>
                  <m:t>→</m:t>
                </m:r>
                <m:r>
                  <m:t>b</m:t>
                </m:r>
              </m:sub>
            </m:sSub>
            <m:r>
              <m:rPr>
                <m:sty m:val="p"/>
              </m:rPr>
              <m:t>+</m:t>
            </m:r>
            <m:sSub>
              <m:e>
                <m:acc>
                  <m:accPr>
                    <m:chr m:val="̂"/>
                  </m:accPr>
                  <m:e>
                    <m:r>
                      <m:t>y</m:t>
                    </m:r>
                  </m:e>
                </m:acc>
              </m:e>
              <m:sub>
                <m:r>
                  <m:t>b</m:t>
                </m:r>
                <m:r>
                  <m:rPr>
                    <m:sty m:val="p"/>
                  </m:rPr>
                  <m:t>→</m:t>
                </m:r>
                <m:r>
                  <m:t>a</m:t>
                </m:r>
              </m:sub>
            </m:sSub>
          </m:e>
        </m:d>
      </m:oMath>
      <w:r>
        <w:t xml:space="preserve"> </w:t>
      </w:r>
      <w:r>
        <w:t xml:space="preserve">and</w:t>
      </w:r>
      <w:r>
        <w:t xml:space="preserve"> </w:t>
      </w:r>
      <m:oMath>
        <m:d>
          <m:dPr>
            <m:begChr m:val="|"/>
            <m:sepChr m:val=""/>
            <m:endChr m:val="|"/>
            <m:grow/>
          </m:dPr>
          <m:e>
            <m:sSub>
              <m:e>
                <m:acc>
                  <m:accPr>
                    <m:chr m:val="̂"/>
                  </m:accPr>
                  <m:e>
                    <m:r>
                      <m:t>y</m:t>
                    </m:r>
                  </m:e>
                </m:acc>
              </m:e>
              <m:sub>
                <m:r>
                  <m:t>a</m:t>
                </m:r>
                <m:r>
                  <m:rPr>
                    <m:sty m:val="p"/>
                  </m:rPr>
                  <m:t>→</m:t>
                </m:r>
                <m:r>
                  <m:t>c</m:t>
                </m:r>
              </m:sub>
            </m:sSub>
            <m:r>
              <m:rPr>
                <m:sty m:val="p"/>
              </m:rPr>
              <m:t>−</m:t>
            </m:r>
            <m:sSub>
              <m:e>
                <m:acc>
                  <m:accPr>
                    <m:chr m:val="̂"/>
                  </m:accPr>
                  <m:e>
                    <m:r>
                      <m:t>y</m:t>
                    </m:r>
                  </m:e>
                </m:acc>
              </m:e>
              <m:sub>
                <m:r>
                  <m:t>a</m:t>
                </m:r>
                <m:r>
                  <m:rPr>
                    <m:sty m:val="p"/>
                  </m:rPr>
                  <m:t>→</m:t>
                </m:r>
                <m:r>
                  <m:t>b</m:t>
                </m:r>
              </m:sub>
            </m:sSub>
            <m:r>
              <m:rPr>
                <m:sty m:val="p"/>
              </m:rPr>
              <m:t>−</m:t>
            </m:r>
            <m:sSub>
              <m:e>
                <m:acc>
                  <m:accPr>
                    <m:chr m:val="̂"/>
                  </m:accPr>
                  <m:e>
                    <m:r>
                      <m:t>y</m:t>
                    </m:r>
                  </m:e>
                </m:acc>
              </m:e>
              <m:sub>
                <m:r>
                  <m:t>b</m:t>
                </m:r>
                <m:r>
                  <m:rPr>
                    <m:sty m:val="p"/>
                  </m:rPr>
                  <m:t>→</m:t>
                </m:r>
                <m:r>
                  <m:t>c</m:t>
                </m:r>
              </m:sub>
            </m:sSub>
          </m:e>
        </m:d>
      </m:oMath>
      <w:r>
        <w:t xml:space="preserve">.</w:t>
      </w:r>
      <w:r>
        <w:t xml:space="preserve"> </w:t>
      </w:r>
      <w:r>
        <w:t xml:space="preserve">Cycle residuals are absolute sums around the loop.</w:t>
      </w:r>
    </w:p>
    <w:bookmarkEnd w:id="23"/>
    <w:bookmarkStart w:id="24" w:name="X77ce937bfdbec58111f4fadae63c338109081b0"/>
    <w:p>
      <w:pPr>
        <w:pStyle w:val="Heading2"/>
      </w:pPr>
      <w:r>
        <w:t xml:space="preserve">Comparison with Published Models and Ablation</w:t>
      </w:r>
    </w:p>
    <w:p>
      <w:pPr>
        <w:pStyle w:val="FirstParagraph"/>
        <w:keepNext/>
      </w:pPr>
      <w:r>
        <w:rPr>
          <w:b/>
          <w:bCs/>
        </w:rPr>
        <w:t xml:space="preserve">Table I.</w:t>
      </w:r>
      <w:r>
        <w:t xml:space="preserve"> </w:t>
      </w:r>
      <w:r>
        <w:t xml:space="preserve">S1129 predictive accuracy: mean</w:t>
      </w:r>
      <w:r>
        <w:t xml:space="preserve"> </w:t>
      </w:r>
      <m:oMath>
        <m:r>
          <m:rPr>
            <m:sty m:val="p"/>
          </m:rPr>
          <m:t>±</m:t>
        </m:r>
      </m:oMath>
      <w:r>
        <w:t xml:space="preserve"> </w:t>
      </w:r>
      <w:r>
        <w:t xml:space="preserve">sample SD across five repeats or seeds, each averaged over five folds. RMSE is in kcal mol</w:t>
      </w:r>
      <w:r>
        <w:rPr>
          <w:vertAlign w:val="superscript"/>
        </w:rPr>
        <w:t xml:space="preserve">-1</w:t>
      </w:r>
      <w:r>
        <w:t xml:space="preserve">.</w:t>
      </w:r>
    </w:p>
    <w:tbl>
      <w:tblPr>
        <w:tblStyle w:val="Table"/>
        <w:tblW w:type="auto" w:w="0"/>
        <w:tblLayout w:type="fixed"/>
        <w:tblLook w:firstRow="1" w:lastRow="0" w:firstColumn="0" w:lastColumn="0" w:noHBand="0" w:noVBand="0" w:val="0020"/>
      </w:tblPr>
      <w:tblGrid>
        <w:gridCol w:w="1980"/>
        <w:gridCol w:w="1980"/>
        <w:gridCol w:w="1980"/>
        <w:gridCol w:w="1980"/>
      </w:tblGrid>
      <w:tr>
        <w:trPr>
          <w:tblHeader w:val="on"/>
          <w:cantSplit/>
          <w:tblHeader/>
        </w:trPr>
        <w:tc>
          <w:tcPr/>
          <w:p>
            <w:pPr>
              <w:pStyle w:val="Compact"/>
              <w:spacing w:after="60" w:before="60"/>
              <w:jc w:val="left"/>
            </w:pPr>
            <w:r>
              <w:rPr>
                <w:sz w:val="20"/>
              </w:rPr>
              <w:t xml:space="preserve">Model</w:t>
            </w:r>
          </w:p>
        </w:tc>
        <w:tc>
          <w:tcPr/>
          <w:p>
            <w:pPr>
              <w:pStyle w:val="Compact"/>
              <w:spacing w:after="60" w:before="60"/>
              <w:jc w:val="center"/>
            </w:pPr>
            <w:r>
              <w:rPr>
                <w:sz w:val="20"/>
              </w:rPr>
              <w:t xml:space="preserve">PCC</w:t>
            </w:r>
            <w:r>
              <w:rPr>
                <w:sz w:val="20"/>
              </w:rPr>
              <w:t xml:space="preserve"> </w:t>
            </w:r>
            <m:oMath>
              <m:r>
                <m:rPr>
                  <m:sty m:val="p"/>
                </m:rPr>
                <m:t>↑</m:t>
              </m:r>
            </m:oMath>
          </w:p>
        </w:tc>
        <w:tc>
          <w:tcPr/>
          <w:p>
            <w:pPr>
              <w:pStyle w:val="Compact"/>
              <w:spacing w:after="60" w:before="60"/>
              <w:jc w:val="center"/>
            </w:pPr>
            <w:r>
              <w:rPr>
                <w:sz w:val="20"/>
              </w:rPr>
              <w:t xml:space="preserve">Spearman</w:t>
            </w:r>
            <w:r>
              <w:rPr>
                <w:sz w:val="20"/>
              </w:rPr>
              <w:t xml:space="preserve"> </w:t>
            </w:r>
            <m:oMath>
              <m:r>
                <m:rPr>
                  <m:sty m:val="p"/>
                </m:rPr>
                <m:t>↑</m:t>
              </m:r>
            </m:oMath>
          </w:p>
        </w:tc>
        <w:tc>
          <w:tcPr/>
          <w:p>
            <w:pPr>
              <w:pStyle w:val="Compact"/>
              <w:spacing w:after="60" w:before="60"/>
              <w:jc w:val="center"/>
            </w:pPr>
            <w:r>
              <w:rPr>
                <w:sz w:val="20"/>
              </w:rPr>
              <w:t xml:space="preserve">RMSE</w:t>
            </w:r>
            <w:r>
              <w:rPr>
                <w:sz w:val="20"/>
              </w:rPr>
              <w:t xml:space="preserve"> </w:t>
            </w:r>
            <m:oMath>
              <m:r>
                <m:rPr>
                  <m:sty m:val="p"/>
                </m:rPr>
                <m:t>↓</m:t>
              </m:r>
            </m:oMath>
          </w:p>
        </w:tc>
      </w:tr>
      <w:tr>
        <w:trPr>
          <w:cantSplit/>
        </w:trPr>
        <w:tc>
          <w:tcPr>
            <w:gridSpan w:val="4"/>
          </w:tcPr>
          <w:p>
            <w:pPr>
              <w:pStyle w:val="Compact"/>
              <w:spacing w:after="60" w:before="60"/>
              <w:jc w:val="left"/>
            </w:pPr>
            <w:r>
              <w:rPr>
                <w:i/>
                <w:iCs/>
                <w:sz w:val="20"/>
              </w:rPr>
              <w:t xml:space="preserve">Published-model comparison</w:t>
            </w:r>
          </w:p>
        </w:tc>
      </w:tr>
      <w:tr>
        <w:trPr>
          <w:cantSplit/>
        </w:trPr>
        <w:tc>
          <w:tcPr/>
          <w:p>
            <w:pPr>
              <w:pStyle w:val="Compact"/>
              <w:spacing w:after="60" w:before="60"/>
              <w:jc w:val="left"/>
            </w:pPr>
            <w:r>
              <w:rPr>
                <w:sz w:val="20"/>
              </w:rPr>
              <w:t xml:space="preserve">DSSA-PPI [6]</w:t>
            </w:r>
          </w:p>
        </w:tc>
        <w:tc>
          <w:tcPr/>
          <w:p>
            <w:pPr>
              <w:pStyle w:val="Compact"/>
              <w:spacing w:after="60" w:before="60"/>
              <w:jc w:val="center"/>
            </w:pPr>
            <m:oMath>
              <m:r>
                <m:t>0.706</m:t>
              </m:r>
              <m:r>
                <m:rPr>
                  <m:sty m:val="p"/>
                </m:rPr>
                <m:t>±</m:t>
              </m:r>
              <m:r>
                <m:t>0.011</m:t>
              </m:r>
            </m:oMath>
          </w:p>
        </w:tc>
        <w:tc>
          <w:tcPr/>
          <w:p>
            <w:pPr>
              <w:pStyle w:val="Compact"/>
              <w:spacing w:after="60" w:before="60"/>
              <w:jc w:val="center"/>
            </w:pPr>
            <m:oMath>
              <m:r>
                <m:t>0.508</m:t>
              </m:r>
              <m:r>
                <m:rPr>
                  <m:sty m:val="p"/>
                </m:rPr>
                <m:t>±</m:t>
              </m:r>
              <m:r>
                <m:t>0.017</m:t>
              </m:r>
            </m:oMath>
          </w:p>
        </w:tc>
        <w:tc>
          <w:tcPr/>
          <w:p>
            <w:pPr>
              <w:pStyle w:val="Compact"/>
              <w:spacing w:after="60" w:before="60"/>
              <w:jc w:val="center"/>
            </w:pPr>
            <m:oMath>
              <m:r>
                <m:t>1.717</m:t>
              </m:r>
              <m:r>
                <m:rPr>
                  <m:sty m:val="p"/>
                </m:rPr>
                <m:t>±</m:t>
              </m:r>
              <m:r>
                <m:t>0.040</m:t>
              </m:r>
            </m:oMath>
          </w:p>
        </w:tc>
      </w:tr>
      <w:tr>
        <w:trPr>
          <w:cantSplit/>
        </w:trPr>
        <w:tc>
          <w:tcPr/>
          <w:p>
            <w:pPr>
              <w:pStyle w:val="Compact"/>
              <w:spacing w:after="60" w:before="60"/>
              <w:jc w:val="left"/>
            </w:pPr>
            <w:r>
              <w:rPr>
                <w:sz w:val="20"/>
              </w:rPr>
              <w:t xml:space="preserve">DiMA-PPI (ours)</w:t>
            </w:r>
          </w:p>
        </w:tc>
        <w:tc>
          <w:tcPr/>
          <w:p>
            <w:pPr>
              <w:pStyle w:val="Compact"/>
              <w:spacing w:after="60" w:before="60"/>
              <w:jc w:val="center"/>
            </w:pPr>
            <m:oMath>
              <m:r>
                <m:t>0.757</m:t>
              </m:r>
              <m:r>
                <m:rPr>
                  <m:sty m:val="p"/>
                </m:rPr>
                <m:t>±</m:t>
              </m:r>
              <m:r>
                <m:t>0.009</m:t>
              </m:r>
            </m:oMath>
          </w:p>
        </w:tc>
        <w:tc>
          <w:tcPr/>
          <w:p>
            <w:pPr>
              <w:pStyle w:val="Compact"/>
              <w:spacing w:after="60" w:before="60"/>
              <w:jc w:val="center"/>
            </w:pPr>
            <m:oMath>
              <m:r>
                <m:t>0.592</m:t>
              </m:r>
              <m:r>
                <m:rPr>
                  <m:sty m:val="p"/>
                </m:rPr>
                <m:t>±</m:t>
              </m:r>
              <m:r>
                <m:t>0.011</m:t>
              </m:r>
            </m:oMath>
          </w:p>
        </w:tc>
        <w:tc>
          <w:tcPr/>
          <w:p>
            <w:pPr>
              <w:pStyle w:val="Compact"/>
              <w:spacing w:after="60" w:before="60"/>
              <w:jc w:val="center"/>
            </w:pPr>
            <m:oMath>
              <m:r>
                <m:t>1.542</m:t>
              </m:r>
              <m:r>
                <m:rPr>
                  <m:sty m:val="p"/>
                </m:rPr>
                <m:t>±</m:t>
              </m:r>
              <m:r>
                <m:t>0.023</m:t>
              </m:r>
            </m:oMath>
          </w:p>
        </w:tc>
      </w:tr>
      <w:tr>
        <w:trPr>
          <w:cantSplit/>
        </w:trPr>
        <w:tc>
          <w:tcPr>
            <w:gridSpan w:val="4"/>
          </w:tcPr>
          <w:p>
            <w:pPr>
              <w:pStyle w:val="Compact"/>
              <w:spacing w:after="60" w:before="60"/>
              <w:jc w:val="left"/>
            </w:pPr>
            <w:r>
              <w:rPr>
                <w:i/>
                <w:iCs/>
                <w:sz w:val="20"/>
              </w:rPr>
              <w:t xml:space="preserve">Matched controls and ablation</w:t>
            </w:r>
          </w:p>
        </w:tc>
      </w:tr>
      <w:tr>
        <w:trPr>
          <w:cantSplit/>
        </w:trPr>
        <w:tc>
          <w:tcPr/>
          <w:p>
            <w:pPr>
              <w:pStyle w:val="Compact"/>
              <w:spacing w:after="60" w:before="60"/>
              <w:jc w:val="left"/>
            </w:pPr>
            <w:r>
              <w:rPr>
                <w:sz w:val="20"/>
              </w:rPr>
              <w:t xml:space="preserve">Pairwise</w:t>
            </w:r>
          </w:p>
        </w:tc>
        <w:tc>
          <w:tcPr/>
          <w:p>
            <w:pPr>
              <w:pStyle w:val="Compact"/>
              <w:spacing w:after="60" w:before="60"/>
              <w:jc w:val="center"/>
            </w:pPr>
            <m:oMath>
              <m:r>
                <m:t>0.570</m:t>
              </m:r>
              <m:r>
                <m:rPr>
                  <m:sty m:val="p"/>
                </m:rPr>
                <m:t>±</m:t>
              </m:r>
              <m:r>
                <m:t>0.020</m:t>
              </m:r>
            </m:oMath>
          </w:p>
        </w:tc>
        <w:tc>
          <w:tcPr/>
          <w:p>
            <w:pPr>
              <w:pStyle w:val="Compact"/>
              <w:spacing w:after="60" w:before="60"/>
              <w:jc w:val="center"/>
            </w:pPr>
            <m:oMath>
              <m:r>
                <m:t>0.514</m:t>
              </m:r>
              <m:r>
                <m:rPr>
                  <m:sty m:val="p"/>
                </m:rPr>
                <m:t>±</m:t>
              </m:r>
              <m:r>
                <m:t>0.021</m:t>
              </m:r>
            </m:oMath>
          </w:p>
        </w:tc>
        <w:tc>
          <w:tcPr/>
          <w:p>
            <w:pPr>
              <w:pStyle w:val="Compact"/>
              <w:spacing w:after="60" w:before="60"/>
              <w:jc w:val="center"/>
            </w:pPr>
            <m:oMath>
              <m:r>
                <m:t>2.112</m:t>
              </m:r>
              <m:r>
                <m:rPr>
                  <m:sty m:val="p"/>
                </m:rPr>
                <m:t>±</m:t>
              </m:r>
              <m:r>
                <m:t>0.047</m:t>
              </m:r>
            </m:oMath>
          </w:p>
        </w:tc>
      </w:tr>
      <w:tr>
        <w:trPr>
          <w:cantSplit/>
        </w:trPr>
        <w:tc>
          <w:tcPr/>
          <w:p>
            <w:pPr>
              <w:pStyle w:val="Compact"/>
              <w:spacing w:after="60" w:before="60"/>
              <w:jc w:val="left"/>
            </w:pPr>
            <w:r>
              <w:rPr>
                <w:sz w:val="20"/>
              </w:rPr>
              <w:t xml:space="preserve">Reverse supervision</w:t>
            </w:r>
          </w:p>
        </w:tc>
        <w:tc>
          <w:tcPr/>
          <w:p>
            <w:pPr>
              <w:pStyle w:val="Compact"/>
              <w:spacing w:after="60" w:before="60"/>
              <w:jc w:val="center"/>
            </w:pPr>
            <m:oMath>
              <m:r>
                <m:t>0.756</m:t>
              </m:r>
              <m:r>
                <m:rPr>
                  <m:sty m:val="p"/>
                </m:rPr>
                <m:t>±</m:t>
              </m:r>
              <m:r>
                <m:t>0.009</m:t>
              </m:r>
            </m:oMath>
          </w:p>
        </w:tc>
        <w:tc>
          <w:tcPr/>
          <w:p>
            <w:pPr>
              <w:pStyle w:val="Compact"/>
              <w:spacing w:after="60" w:before="60"/>
              <w:jc w:val="center"/>
            </w:pPr>
            <m:oMath>
              <m:r>
                <m:t>0.602</m:t>
              </m:r>
              <m:r>
                <m:rPr>
                  <m:sty m:val="p"/>
                </m:rPr>
                <m:t>±</m:t>
              </m:r>
              <m:r>
                <m:t>0.011</m:t>
              </m:r>
            </m:oMath>
          </w:p>
        </w:tc>
        <w:tc>
          <w:tcPr/>
          <w:p>
            <w:pPr>
              <w:pStyle w:val="Compact"/>
              <w:spacing w:after="60" w:before="60"/>
              <w:jc w:val="center"/>
            </w:pPr>
            <m:oMath>
              <m:r>
                <m:t>1.565</m:t>
              </m:r>
              <m:r>
                <m:rPr>
                  <m:sty m:val="p"/>
                </m:rPr>
                <m:t>±</m:t>
              </m:r>
              <m:r>
                <m:t>0.039</m:t>
              </m:r>
            </m:oMath>
          </w:p>
        </w:tc>
      </w:tr>
      <w:tr>
        <w:trPr>
          <w:cantSplit/>
        </w:trPr>
        <w:tc>
          <w:tcPr/>
          <w:p>
            <w:pPr>
              <w:pStyle w:val="Compact"/>
              <w:spacing w:after="60" w:before="60"/>
              <w:jc w:val="left"/>
            </w:pPr>
            <w:r>
              <w:rPr>
                <w:sz w:val="20"/>
              </w:rPr>
              <w:t xml:space="preserve">Soft consistency</w:t>
            </w:r>
          </w:p>
        </w:tc>
        <w:tc>
          <w:tcPr/>
          <w:p>
            <w:pPr>
              <w:pStyle w:val="Compact"/>
              <w:spacing w:after="60" w:before="60"/>
              <w:jc w:val="center"/>
            </w:pPr>
            <m:oMath>
              <m:r>
                <m:t>0.759</m:t>
              </m:r>
              <m:r>
                <m:rPr>
                  <m:sty m:val="p"/>
                </m:rPr>
                <m:t>±</m:t>
              </m:r>
              <m:r>
                <m:t>0.012</m:t>
              </m:r>
            </m:oMath>
          </w:p>
        </w:tc>
        <w:tc>
          <w:tcPr/>
          <w:p>
            <w:pPr>
              <w:pStyle w:val="Compact"/>
              <w:spacing w:after="60" w:before="60"/>
              <w:jc w:val="center"/>
            </w:pPr>
            <m:oMath>
              <m:r>
                <m:t>0.608</m:t>
              </m:r>
              <m:r>
                <m:rPr>
                  <m:sty m:val="p"/>
                </m:rPr>
                <m:t>±</m:t>
              </m:r>
              <m:r>
                <m:t>0.014</m:t>
              </m:r>
            </m:oMath>
          </w:p>
        </w:tc>
        <w:tc>
          <w:tcPr/>
          <w:p>
            <w:pPr>
              <w:pStyle w:val="Compact"/>
              <w:spacing w:after="60" w:before="60"/>
              <w:jc w:val="center"/>
            </w:pPr>
            <m:oMath>
              <m:r>
                <m:t>1.551</m:t>
              </m:r>
              <m:r>
                <m:rPr>
                  <m:sty m:val="p"/>
                </m:rPr>
                <m:t>±</m:t>
              </m:r>
              <m:r>
                <m:t>0.045</m:t>
              </m:r>
            </m:oMath>
          </w:p>
        </w:tc>
      </w:tr>
      <w:tr>
        <w:trPr>
          <w:cantSplit/>
        </w:trPr>
        <w:tc>
          <w:tcPr/>
          <w:p>
            <w:pPr>
              <w:pStyle w:val="Compact"/>
              <w:spacing w:after="60" w:before="60"/>
              <w:jc w:val="left"/>
            </w:pPr>
            <w:r>
              <w:rPr>
                <w:sz w:val="20"/>
              </w:rPr>
              <w:t xml:space="preserve">Hard antisymmetry</w:t>
            </w:r>
          </w:p>
        </w:tc>
        <w:tc>
          <w:tcPr/>
          <w:p>
            <w:pPr>
              <w:pStyle w:val="Compact"/>
              <w:spacing w:after="60" w:before="60"/>
              <w:jc w:val="center"/>
            </w:pPr>
            <m:oMath>
              <m:r>
                <m:t>0.755</m:t>
              </m:r>
              <m:r>
                <m:rPr>
                  <m:sty m:val="p"/>
                </m:rPr>
                <m:t>±</m:t>
              </m:r>
              <m:r>
                <m:t>0.003</m:t>
              </m:r>
            </m:oMath>
          </w:p>
        </w:tc>
        <w:tc>
          <w:tcPr/>
          <w:p>
            <w:pPr>
              <w:pStyle w:val="Compact"/>
              <w:spacing w:after="60" w:before="60"/>
              <w:jc w:val="center"/>
            </w:pPr>
            <m:oMath>
              <m:r>
                <m:t>0.594</m:t>
              </m:r>
              <m:r>
                <m:rPr>
                  <m:sty m:val="p"/>
                </m:rPr>
                <m:t>±</m:t>
              </m:r>
              <m:r>
                <m:t>0.009</m:t>
              </m:r>
            </m:oMath>
          </w:p>
        </w:tc>
        <w:tc>
          <w:tcPr/>
          <w:p>
            <w:pPr>
              <w:pStyle w:val="Compact"/>
              <w:spacing w:after="60" w:before="60"/>
              <w:jc w:val="center"/>
            </w:pPr>
            <m:oMath>
              <m:r>
                <m:t>1.549</m:t>
              </m:r>
              <m:r>
                <m:rPr>
                  <m:sty m:val="p"/>
                </m:rPr>
                <m:t>±</m:t>
              </m:r>
              <m:r>
                <m:t>0.013</m:t>
              </m:r>
            </m:oMath>
          </w:p>
        </w:tc>
      </w:tr>
      <w:tr>
        <w:trPr>
          <w:cantSplit/>
        </w:trPr>
        <w:tc>
          <w:tcPr/>
          <w:p>
            <w:pPr>
              <w:pStyle w:val="Compact"/>
              <w:spacing w:after="60" w:before="60"/>
              <w:jc w:val="left"/>
            </w:pPr>
            <w:r>
              <w:rPr>
                <w:sz w:val="20"/>
              </w:rPr>
              <w:t xml:space="preserve">No state descriptors</w:t>
            </w:r>
          </w:p>
        </w:tc>
        <w:tc>
          <w:tcPr/>
          <w:p>
            <w:pPr>
              <w:pStyle w:val="Compact"/>
              <w:spacing w:after="60" w:before="60"/>
              <w:jc w:val="center"/>
            </w:pPr>
            <m:oMath>
              <m:r>
                <m:t>0.750</m:t>
              </m:r>
              <m:r>
                <m:rPr>
                  <m:sty m:val="p"/>
                </m:rPr>
                <m:t>±</m:t>
              </m:r>
              <m:r>
                <m:t>0.004</m:t>
              </m:r>
            </m:oMath>
          </w:p>
        </w:tc>
        <w:tc>
          <w:tcPr/>
          <w:p>
            <w:pPr>
              <w:pStyle w:val="Compact"/>
              <w:spacing w:after="60" w:before="60"/>
              <w:jc w:val="center"/>
            </w:pPr>
            <m:oMath>
              <m:r>
                <m:t>0.578</m:t>
              </m:r>
              <m:r>
                <m:rPr>
                  <m:sty m:val="p"/>
                </m:rPr>
                <m:t>±</m:t>
              </m:r>
              <m:r>
                <m:t>0.006</m:t>
              </m:r>
            </m:oMath>
          </w:p>
        </w:tc>
        <w:tc>
          <w:tcPr/>
          <w:p>
            <w:pPr>
              <w:pStyle w:val="Compact"/>
              <w:spacing w:after="60" w:before="60"/>
              <w:jc w:val="center"/>
            </w:pPr>
            <m:oMath>
              <m:r>
                <m:t>1.588</m:t>
              </m:r>
              <m:r>
                <m:rPr>
                  <m:sty m:val="p"/>
                </m:rPr>
                <m:t>±</m:t>
              </m:r>
              <m:r>
                <m:t>0.025</m:t>
              </m:r>
            </m:oMath>
          </w:p>
        </w:tc>
      </w:tr>
    </w:tbl>
    <w:p>
      <w:pPr>
        <w:pStyle w:val="BodyText"/>
      </w:pPr>
      <w:r>
        <w:t xml:space="preserve">DSSA-PPI [6] is evaluated using five released repeats of</w:t>
      </w:r>
      <w:r>
        <w:t xml:space="preserve"> </w:t>
      </w:r>
      <w:r>
        <w:t xml:space="preserve">fold-specific checkpoints, using the same S1129 observations and outer</w:t>
      </w:r>
      <w:r>
        <w:t xml:space="preserve"> </w:t>
      </w:r>
      <w:r>
        <w:t xml:space="preserve">folds as DiMA-PPI and retaining its original pretraining and optimization</w:t>
      </w:r>
      <w:r>
        <w:t xml:space="preserve"> </w:t>
      </w:r>
      <w:r>
        <w:t xml:space="preserve">procedures.</w:t>
      </w:r>
    </w:p>
    <w:p>
      <w:pPr>
        <w:pStyle w:val="BodyText"/>
      </w:pPr>
      <w:r>
        <w:t xml:space="preserve">DiMA-PPI achieves PCC</w:t>
      </w:r>
      <w:r>
        <w:t xml:space="preserve"> </w:t>
      </w:r>
      <m:oMath>
        <m:r>
          <m:t>0.757</m:t>
        </m:r>
        <m:r>
          <m:rPr>
            <m:sty m:val="p"/>
          </m:rPr>
          <m:t>±</m:t>
        </m:r>
        <m:r>
          <m:t>0.009</m:t>
        </m:r>
      </m:oMath>
      <w:r>
        <w:t xml:space="preserve">, Spearman correlation</w:t>
      </w:r>
      <w:r>
        <w:t xml:space="preserve"> </w:t>
      </w:r>
      <m:oMath>
        <m:r>
          <m:t>0.592</m:t>
        </m:r>
        <m:r>
          <m:rPr>
            <m:sty m:val="p"/>
          </m:rPr>
          <m:t>±</m:t>
        </m:r>
        <m:r>
          <m:t>0.011</m:t>
        </m:r>
      </m:oMath>
      <w:r>
        <w:t xml:space="preserve"> </w:t>
      </w:r>
      <w:r>
        <w:t xml:space="preserve">and RMSE</w:t>
      </w:r>
      <w:r>
        <w:t xml:space="preserve"> </w:t>
      </w:r>
      <m:oMath>
        <m:r>
          <m:t>1.542</m:t>
        </m:r>
        <m:r>
          <m:rPr>
            <m:sty m:val="p"/>
          </m:rPr>
          <m:t>±</m:t>
        </m:r>
        <m:r>
          <m:t>0.023</m:t>
        </m:r>
      </m:oMath>
      <w:r>
        <w:t xml:space="preserve"> kcal mol</w:t>
      </w:r>
      <w:r>
        <w:rPr>
          <w:vertAlign w:val="superscript"/>
        </w:rPr>
        <w:t xml:space="preserve">-1</w:t>
      </w:r>
      <w:r>
        <w:t xml:space="preserve"> </w:t>
      </w:r>
      <w:r>
        <w:t xml:space="preserve">(Table I). Relative to DSSA-PPI, DiMA-PPI increases</w:t>
      </w:r>
      <w:r>
        <w:t xml:space="preserve"> </w:t>
      </w:r>
      <w:r>
        <w:t xml:space="preserve">mean PCC by 0.051 and Spearman correlation by 0.084, and reduces RMSE by</w:t>
      </w:r>
      <w:r>
        <w:t xml:space="preserve"> </w:t>
      </w:r>
      <w:r>
        <w:t xml:space="preserve">0.176 kcal mol</w:t>
      </w:r>
      <w:r>
        <w:rPr>
          <w:vertAlign w:val="superscript"/>
        </w:rPr>
        <w:t xml:space="preserve">-1</w:t>
      </w:r>
      <w:r>
        <w:t xml:space="preserve">. Among matched controls, soft consistency achieves the highest mean</w:t>
      </w:r>
      <w:r>
        <w:t xml:space="preserve"> </w:t>
      </w:r>
      <w:r>
        <w:t xml:space="preserve">PCC and Spearman correlation; DiMA-PPI achieves the lowest mean RMSE.</w:t>
      </w:r>
    </w:p>
    <w:p>
      <w:pPr>
        <w:pStyle w:val="BodyText"/>
      </w:pPr>
      <w:r>
        <w:t xml:space="preserve">Removing state descriptors yields PCC 0.750, Spearman correlation 0.578</w:t>
      </w:r>
      <w:r>
        <w:t xml:space="preserve"> </w:t>
      </w:r>
      <w:r>
        <w:t xml:space="preserve">and RMSE 1.588. Paired uncertainty is estimated from five-seed ensemble</w:t>
      </w:r>
      <w:r>
        <w:t xml:space="preserve"> </w:t>
      </w:r>
      <w:r>
        <w:t xml:space="preserve">predictions using 10,000 complex-bootstrap replicates within each fold.</w:t>
      </w:r>
      <w:r>
        <w:t xml:space="preserve"> </w:t>
      </w:r>
      <w:r>
        <w:t xml:space="preserve">Including the descriptors increases ensemble PCC by 0.0098 (95% CI 0.0002–0.0206) and reduces</w:t>
      </w:r>
      <w:r>
        <w:t xml:space="preserve"> </w:t>
      </w:r>
      <w:r>
        <w:t xml:space="preserve">RMSE by 0.0490 kcal mol</w:t>
      </w:r>
      <w:r>
        <w:rPr>
          <w:vertAlign w:val="superscript"/>
        </w:rPr>
        <w:t xml:space="preserve">-1</w:t>
      </w:r>
      <w:r>
        <w:t xml:space="preserve"> </w:t>
      </w:r>
      <w:r>
        <w:t xml:space="preserve">(95% CI 0.0138–0.0779).</w:t>
      </w:r>
    </w:p>
    <w:bookmarkEnd w:id="24"/>
    <w:bookmarkStart w:id="25" w:name="path-and-cycle-consistency-on-ppi-path92"/>
    <w:p>
      <w:pPr>
        <w:pStyle w:val="Heading2"/>
      </w:pPr>
      <w:r>
        <w:t xml:space="preserve">Path and Cycle Consistency on PPI-Path92</w:t>
      </w:r>
    </w:p>
    <w:p>
      <w:pPr>
        <w:pStyle w:val="FirstParagraph"/>
        <w:keepNext/>
      </w:pPr>
      <w:r>
        <w:rPr>
          <w:b/>
          <w:bCs/>
        </w:rPr>
        <w:t xml:space="preserve">Table II.</w:t>
      </w:r>
      <w:r>
        <w:t xml:space="preserve"> </w:t>
      </w:r>
      <w:r>
        <w:t xml:space="preserve">PPI-Path92 mean absolute consistency residuals (kcal mol</w:t>
      </w:r>
      <w:r>
        <w:rPr>
          <w:vertAlign w:val="superscript"/>
        </w:rPr>
        <w:t xml:space="preserve">-1</w:t>
      </w:r>
      <w:r>
        <w:t xml:space="preserve">), averaged across five seeds.</w:t>
      </w:r>
    </w:p>
    <w:tbl>
      <w:tblPr>
        <w:tblStyle w:val="Table"/>
        <w:tblW w:type="auto" w:w="0"/>
        <w:tblLayout w:type="fixed"/>
        <w:tblLook w:firstRow="1" w:lastRow="0" w:firstColumn="0" w:lastColumn="0" w:noHBand="0" w:noVBand="0" w:val="0020"/>
      </w:tblPr>
      <w:tblGrid>
        <w:gridCol w:w="1584"/>
        <w:gridCol w:w="1584"/>
        <w:gridCol w:w="1584"/>
        <w:gridCol w:w="1584"/>
        <w:gridCol w:w="1584"/>
      </w:tblGrid>
      <w:tr>
        <w:trPr>
          <w:tblHeader w:val="on"/>
          <w:cantSplit/>
          <w:tblHeader/>
        </w:trPr>
        <w:tc>
          <w:tcPr/>
          <w:p>
            <w:pPr>
              <w:pStyle w:val="Compact"/>
              <w:spacing w:after="60" w:before="60"/>
              <w:jc w:val="left"/>
            </w:pPr>
            <w:r>
              <w:rPr>
                <w:sz w:val="20"/>
              </w:rPr>
              <w:t xml:space="preserve">Model</w:t>
            </w:r>
          </w:p>
        </w:tc>
        <w:tc>
          <w:tcPr/>
          <w:p>
            <w:pPr>
              <w:pStyle w:val="Compact"/>
              <w:spacing w:after="60" w:before="60"/>
              <w:jc w:val="center"/>
            </w:pPr>
            <w:r>
              <w:rPr>
                <w:sz w:val="20"/>
              </w:rPr>
              <w:t xml:space="preserve">Reverse</w:t>
            </w:r>
          </w:p>
        </w:tc>
        <w:tc>
          <w:tcPr/>
          <w:p>
            <w:pPr>
              <w:pStyle w:val="Compact"/>
              <w:spacing w:after="60" w:before="60"/>
              <w:jc w:val="center"/>
            </w:pPr>
            <w:r>
              <w:rPr>
                <w:sz w:val="20"/>
              </w:rPr>
              <w:t xml:space="preserve">Path</w:t>
            </w:r>
          </w:p>
        </w:tc>
        <w:tc>
          <w:tcPr/>
          <w:p>
            <w:pPr>
              <w:pStyle w:val="Compact"/>
              <w:spacing w:after="60" w:before="60"/>
              <w:jc w:val="center"/>
            </w:pPr>
            <w:r>
              <w:rPr>
                <w:sz w:val="20"/>
              </w:rPr>
              <w:t xml:space="preserve">Triangle</w:t>
            </w:r>
          </w:p>
        </w:tc>
        <w:tc>
          <w:tcPr/>
          <w:p>
            <w:pPr>
              <w:pStyle w:val="Compact"/>
              <w:spacing w:after="60" w:before="60"/>
              <w:jc w:val="center"/>
            </w:pPr>
            <w:r>
              <w:rPr>
                <w:sz w:val="20"/>
              </w:rPr>
              <w:t xml:space="preserve">Four-cycle</w:t>
            </w:r>
          </w:p>
        </w:tc>
      </w:tr>
      <w:tr>
        <w:trPr>
          <w:cantSplit/>
        </w:trPr>
        <w:tc>
          <w:tcPr/>
          <w:p>
            <w:pPr>
              <w:pStyle w:val="Compact"/>
              <w:spacing w:after="60" w:before="60"/>
              <w:jc w:val="left"/>
            </w:pPr>
            <w:r>
              <w:rPr>
                <w:sz w:val="20"/>
              </w:rPr>
              <w:t xml:space="preserve">Pairwise</w:t>
            </w:r>
          </w:p>
        </w:tc>
        <w:tc>
          <w:tcPr/>
          <w:p>
            <w:pPr>
              <w:pStyle w:val="Compact"/>
              <w:spacing w:after="60" w:before="60"/>
              <w:jc w:val="center"/>
            </w:pPr>
            <m:oMath>
              <m:r>
                <m:t>2.260</m:t>
              </m:r>
            </m:oMath>
          </w:p>
        </w:tc>
        <w:tc>
          <w:tcPr/>
          <w:p>
            <w:pPr>
              <w:pStyle w:val="Compact"/>
              <w:spacing w:after="60" w:before="60"/>
              <w:jc w:val="center"/>
            </w:pPr>
            <m:oMath>
              <m:r>
                <m:t>1.298</m:t>
              </m:r>
            </m:oMath>
          </w:p>
        </w:tc>
        <w:tc>
          <w:tcPr/>
          <w:p>
            <w:pPr>
              <w:pStyle w:val="Compact"/>
              <w:spacing w:after="60" w:before="60"/>
              <w:jc w:val="center"/>
            </w:pPr>
            <m:oMath>
              <m:r>
                <m:t>3.283</m:t>
              </m:r>
            </m:oMath>
          </w:p>
        </w:tc>
        <w:tc>
          <w:tcPr/>
          <w:p>
            <w:pPr>
              <w:pStyle w:val="Compact"/>
              <w:spacing w:after="60" w:before="60"/>
              <w:jc w:val="center"/>
            </w:pPr>
            <m:oMath>
              <m:r>
                <m:t>4.248</m:t>
              </m:r>
            </m:oMath>
          </w:p>
        </w:tc>
      </w:tr>
      <w:tr>
        <w:trPr>
          <w:cantSplit/>
        </w:trPr>
        <w:tc>
          <w:tcPr/>
          <w:p>
            <w:pPr>
              <w:pStyle w:val="Compact"/>
              <w:spacing w:after="60" w:before="60"/>
              <w:jc w:val="left"/>
            </w:pPr>
            <w:r>
              <w:rPr>
                <w:sz w:val="20"/>
              </w:rPr>
              <w:t xml:space="preserve">Soft</w:t>
            </w:r>
          </w:p>
        </w:tc>
        <w:tc>
          <w:tcPr/>
          <w:p>
            <w:pPr>
              <w:pStyle w:val="Compact"/>
              <w:spacing w:after="60" w:before="60"/>
              <w:jc w:val="center"/>
            </w:pPr>
            <m:oMath>
              <m:r>
                <m:t>0.867</m:t>
              </m:r>
            </m:oMath>
          </w:p>
        </w:tc>
        <w:tc>
          <w:tcPr/>
          <w:p>
            <w:pPr>
              <w:pStyle w:val="Compact"/>
              <w:spacing w:after="60" w:before="60"/>
              <w:jc w:val="center"/>
            </w:pPr>
            <m:oMath>
              <m:r>
                <m:t>0.879</m:t>
              </m:r>
            </m:oMath>
          </w:p>
        </w:tc>
        <w:tc>
          <w:tcPr/>
          <w:p>
            <w:pPr>
              <w:pStyle w:val="Compact"/>
              <w:spacing w:after="60" w:before="60"/>
              <w:jc w:val="center"/>
            </w:pPr>
            <m:oMath>
              <m:r>
                <m:t>1.314</m:t>
              </m:r>
            </m:oMath>
          </w:p>
        </w:tc>
        <w:tc>
          <w:tcPr/>
          <w:p>
            <w:pPr>
              <w:pStyle w:val="Compact"/>
              <w:spacing w:after="60" w:before="60"/>
              <w:jc w:val="center"/>
            </w:pPr>
            <m:oMath>
              <m:r>
                <m:t>1.652</m:t>
              </m:r>
            </m:oMath>
          </w:p>
        </w:tc>
      </w:tr>
      <w:tr>
        <w:trPr>
          <w:cantSplit/>
        </w:trPr>
        <w:tc>
          <w:tcPr/>
          <w:p>
            <w:pPr>
              <w:pStyle w:val="Compact"/>
              <w:spacing w:after="60" w:before="60"/>
              <w:jc w:val="left"/>
            </w:pPr>
            <w:r>
              <w:rPr>
                <w:sz w:val="20"/>
              </w:rPr>
              <w:t xml:space="preserve">Hard anti.</w:t>
            </w:r>
          </w:p>
        </w:tc>
        <w:tc>
          <w:tcPr/>
          <w:p>
            <w:pPr>
              <w:pStyle w:val="Compact"/>
              <w:spacing w:after="60" w:before="60"/>
              <w:jc w:val="center"/>
            </w:pPr>
            <m:oMath>
              <m:r>
                <m:t>1.63</m:t>
              </m:r>
              <m:r>
                <m:rPr>
                  <m:sty m:val="p"/>
                </m:rPr>
                <m:t>×</m:t>
              </m:r>
              <m:sSup>
                <m:e>
                  <m:r>
                    <m:t>10</m:t>
                  </m:r>
                </m:e>
                <m:sup>
                  <m:r>
                    <m:rPr>
                      <m:sty m:val="p"/>
                    </m:rPr>
                    <m:t>−</m:t>
                  </m:r>
                  <m:r>
                    <m:t>7</m:t>
                  </m:r>
                </m:sup>
              </m:sSup>
            </m:oMath>
          </w:p>
        </w:tc>
        <w:tc>
          <w:tcPr/>
          <w:p>
            <w:pPr>
              <w:pStyle w:val="Compact"/>
              <w:spacing w:after="60" w:before="60"/>
              <w:jc w:val="center"/>
            </w:pPr>
            <m:oMath>
              <m:r>
                <m:t>0.441</m:t>
              </m:r>
            </m:oMath>
          </w:p>
        </w:tc>
        <w:tc>
          <w:tcPr/>
          <w:p>
            <w:pPr>
              <w:pStyle w:val="Compact"/>
              <w:spacing w:after="60" w:before="60"/>
              <w:jc w:val="center"/>
            </w:pPr>
            <m:oMath>
              <m:r>
                <m:t>0.305</m:t>
              </m:r>
            </m:oMath>
          </w:p>
        </w:tc>
        <w:tc>
          <w:tcPr/>
          <w:p>
            <w:pPr>
              <w:pStyle w:val="Compact"/>
              <w:spacing w:after="60" w:before="60"/>
              <w:jc w:val="center"/>
            </w:pPr>
            <m:oMath>
              <m:r>
                <m:t>0.348</m:t>
              </m:r>
            </m:oMath>
          </w:p>
        </w:tc>
      </w:tr>
      <w:tr>
        <w:trPr>
          <w:cantSplit/>
        </w:trPr>
        <w:tc>
          <w:tcPr/>
          <w:p>
            <w:pPr>
              <w:pStyle w:val="Compact"/>
              <w:spacing w:after="60" w:before="60"/>
              <w:jc w:val="left"/>
            </w:pPr>
            <w:r>
              <w:rPr>
                <w:sz w:val="20"/>
              </w:rPr>
              <w:t xml:space="preserve">DiMA-PPI</w:t>
            </w:r>
          </w:p>
        </w:tc>
        <w:tc>
          <w:tcPr/>
          <w:p>
            <w:pPr>
              <w:pStyle w:val="Compact"/>
              <w:spacing w:after="60" w:before="60"/>
              <w:jc w:val="center"/>
            </w:pPr>
            <m:oMath>
              <m:r>
                <m:t>2.20</m:t>
              </m:r>
              <m:r>
                <m:rPr>
                  <m:sty m:val="p"/>
                </m:rPr>
                <m:t>×</m:t>
              </m:r>
              <m:sSup>
                <m:e>
                  <m:r>
                    <m:t>10</m:t>
                  </m:r>
                </m:e>
                <m:sup>
                  <m:r>
                    <m:rPr>
                      <m:sty m:val="p"/>
                    </m:rPr>
                    <m:t>−</m:t>
                  </m:r>
                  <m:r>
                    <m:t>7</m:t>
                  </m:r>
                </m:sup>
              </m:sSup>
            </m:oMath>
          </w:p>
        </w:tc>
        <w:tc>
          <w:tcPr/>
          <w:p>
            <w:pPr>
              <w:pStyle w:val="Compact"/>
              <w:spacing w:after="60" w:before="60"/>
              <w:jc w:val="center"/>
            </w:pPr>
            <m:oMath>
              <m:r>
                <m:t>4.78</m:t>
              </m:r>
              <m:r>
                <m:rPr>
                  <m:sty m:val="p"/>
                </m:rPr>
                <m:t>×</m:t>
              </m:r>
              <m:sSup>
                <m:e>
                  <m:r>
                    <m:t>10</m:t>
                  </m:r>
                </m:e>
                <m:sup>
                  <m:r>
                    <m:rPr>
                      <m:sty m:val="p"/>
                    </m:rPr>
                    <m:t>−</m:t>
                  </m:r>
                  <m:r>
                    <m:t>7</m:t>
                  </m:r>
                </m:sup>
              </m:sSup>
            </m:oMath>
          </w:p>
        </w:tc>
        <w:tc>
          <w:tcPr/>
          <w:p>
            <w:pPr>
              <w:pStyle w:val="Compact"/>
              <w:spacing w:after="60" w:before="60"/>
              <w:jc w:val="center"/>
            </w:pPr>
            <m:oMath>
              <m:r>
                <m:t>3.08</m:t>
              </m:r>
              <m:r>
                <m:rPr>
                  <m:sty m:val="p"/>
                </m:rPr>
                <m:t>×</m:t>
              </m:r>
              <m:sSup>
                <m:e>
                  <m:r>
                    <m:t>10</m:t>
                  </m:r>
                </m:e>
                <m:sup>
                  <m:r>
                    <m:rPr>
                      <m:sty m:val="p"/>
                    </m:rPr>
                    <m:t>−</m:t>
                  </m:r>
                  <m:r>
                    <m:t>7</m:t>
                  </m:r>
                </m:sup>
              </m:sSup>
            </m:oMath>
          </w:p>
        </w:tc>
        <w:tc>
          <w:tcPr/>
          <w:p>
            <w:pPr>
              <w:pStyle w:val="Compact"/>
              <w:spacing w:after="60" w:before="60"/>
              <w:jc w:val="center"/>
            </w:pPr>
            <m:oMath>
              <m:r>
                <m:t>3.68</m:t>
              </m:r>
              <m:r>
                <m:rPr>
                  <m:sty m:val="p"/>
                </m:rPr>
                <m:t>×</m:t>
              </m:r>
              <m:sSup>
                <m:e>
                  <m:r>
                    <m:t>10</m:t>
                  </m:r>
                </m:e>
                <m:sup>
                  <m:r>
                    <m:rPr>
                      <m:sty m:val="p"/>
                    </m:rPr>
                    <m:t>−</m:t>
                  </m:r>
                  <m:r>
                    <m:t>7</m:t>
                  </m:r>
                </m:sup>
              </m:sSup>
            </m:oMath>
          </w:p>
        </w:tc>
      </w:tr>
    </w:tbl>
    <w:p>
      <w:pPr>
        <w:pStyle w:val="BodyText"/>
      </w:pPr>
      <w:r>
        <w:t xml:space="preserve">Table II reports residuals for reversal, path composition</w:t>
      </w:r>
      <w:r>
        <w:t xml:space="preserve"> </w:t>
      </w:r>
      <w:r>
        <w:t xml:space="preserve">and cycle closure. Hard antisymmetry achieves numerical precision for</w:t>
      </w:r>
      <w:r>
        <w:t xml:space="preserve"> </w:t>
      </w:r>
      <w:r>
        <w:t xml:space="preserve">reversal, with mean path and four-cycle residuals of 0.441 and</w:t>
      </w:r>
      <w:r>
        <w:t xml:space="preserve"> </w:t>
      </w:r>
      <w:r>
        <w:t xml:space="preserve">0.348 kcal mol</w:t>
      </w:r>
      <w:r>
        <w:rPr>
          <w:vertAlign w:val="superscript"/>
        </w:rPr>
        <w:t xml:space="preserve">-1</w:t>
      </w:r>
      <w:r>
        <w:t xml:space="preserve">. DiMA-PPI achieves mean residuals below</w:t>
      </w:r>
      <w:r>
        <w:t xml:space="preserve"> </w:t>
      </w:r>
      <m:oMath>
        <m:r>
          <m:t>5</m:t>
        </m:r>
        <m:r>
          <m:rPr>
            <m:sty m:val="p"/>
          </m:rPr>
          <m:t>×</m:t>
        </m:r>
        <m:sSup>
          <m:e>
            <m:r>
              <m:t>10</m:t>
            </m:r>
          </m:e>
          <m:sup>
            <m:r>
              <m:rPr>
                <m:sty m:val="p"/>
              </m:rPr>
              <m:t>−</m:t>
            </m:r>
            <m:r>
              <m:t>7</m:t>
            </m:r>
          </m:sup>
        </m:sSup>
      </m:oMath>
      <w:r>
        <w:t xml:space="preserve"> </w:t>
      </w:r>
      <w:r>
        <w:t xml:space="preserve">for all four relations. This evaluation recomputes scores</w:t>
      </w:r>
      <w:r>
        <w:t xml:space="preserve"> </w:t>
      </w:r>
      <w:r>
        <w:t xml:space="preserve">from deterministic canonical inputs for each requested edge; the resulting</w:t>
      </w:r>
      <w:r>
        <w:t xml:space="preserve"> </w:t>
      </w:r>
      <w:r>
        <w:t xml:space="preserve">residuals are consistent with floating-point arithmetic.</w:t>
      </w:r>
    </w:p>
    <w:bookmarkEnd w:id="25"/>
    <w:bookmarkStart w:id="26" w:name="compositional-prediction-on-ppi-path92"/>
    <w:p>
      <w:pPr>
        <w:pStyle w:val="Heading2"/>
      </w:pPr>
      <w:r>
        <w:t xml:space="preserve">Compositional Prediction on PPI-Path92</w:t>
      </w:r>
    </w:p>
    <w:p>
      <w:pPr>
        <w:pStyle w:val="FirstParagraph"/>
      </w:pPr>
      <w:r>
        <w:t xml:space="preserve">On the 9,904 mutant-to-mutant edges defined by</w:t>
      </w:r>
      <w:r>
        <w:t xml:space="preserve"> </w:t>
      </w:r>
      <w:r>
        <w:t xml:space="preserve">Eq. (9), native pairwise, soft, hard and DiMA-PPI</w:t>
      </w:r>
      <w:r>
        <w:t xml:space="preserve"> </w:t>
      </w:r>
      <w:r>
        <w:t xml:space="preserve">predictors achieve PCC 0.354, 0.442, 0.502 and 0.547, and RMSE 2.128, 1.910,</w:t>
      </w:r>
      <w:r>
        <w:t xml:space="preserve"> </w:t>
      </w:r>
      <w:r>
        <w:t xml:space="preserve">1.783 and 1.611 kcal mol</w:t>
      </w:r>
      <w:r>
        <w:rPr>
          <w:vertAlign w:val="superscript"/>
        </w:rPr>
        <w:t xml:space="preserve">-1</w:t>
      </w:r>
      <w:r>
        <w:t xml:space="preserve">, respectively (Fig. 2a).</w:t>
      </w:r>
      <w:r>
        <w:t xml:space="preserve"> </w:t>
      </w:r>
      <w:r>
        <w:t xml:space="preserve">The paired bootstrap of five-seed ensemble predictions estimates an RMSE</w:t>
      </w:r>
      <w:r>
        <w:t xml:space="preserve"> </w:t>
      </w:r>
      <w:r>
        <w:t xml:space="preserve">reduction of 0.167 (95% CI 0.016–0.466) relative to hard antisymmetry. The ensemble</w:t>
      </w:r>
      <w:r>
        <w:t xml:space="preserve"> </w:t>
      </w:r>
      <w:r>
        <w:t xml:space="preserve">PCC gain is 0.049 (95% CI</w:t>
      </w:r>
      <w:r>
        <w:t xml:space="preserve"> </w:t>
      </w:r>
      <m:oMath>
        <m:r>
          <m:rPr>
            <m:sty m:val="p"/>
          </m:rPr>
          <m:t>−</m:t>
        </m:r>
        <m:r>
          <m:t>0.041</m:t>
        </m:r>
      </m:oMath>
      <w:r>
        <w:t xml:space="preserve"> </w:t>
      </w:r>
      <w:r>
        <w:t xml:space="preserve">to 0.175).</w:t>
      </w:r>
    </w:p>
    <w:p>
      <w:pPr>
        <w:pStyle w:val="BodyText"/>
      </w:pPr>
      <w:r>
        <w:t xml:space="preserve">Composition of predicted WT effects yields RMSE 1.630, 1.578 and 1.622</w:t>
      </w:r>
      <w:r>
        <w:t xml:space="preserve"> </w:t>
      </w:r>
      <w:r>
        <w:t xml:space="preserve">for the pairwise, soft and hard controls, respectively. Endpoint composition</w:t>
      </w:r>
      <w:r>
        <w:t xml:space="preserve"> </w:t>
      </w:r>
      <w:r>
        <w:t xml:space="preserve">therefore recovers much of the accuracy difference observed for native</w:t>
      </w:r>
      <w:r>
        <w:t xml:space="preserve"> </w:t>
      </w:r>
      <w:r>
        <w:t xml:space="preserve">predictions; the composed soft control has the lowest mean RMSE. In</w:t>
      </w:r>
      <w:r>
        <w:t xml:space="preserve"> </w:t>
      </w:r>
      <w:r>
        <w:t xml:space="preserve">DiMA-PPI, native prediction and endpoint composition are algebraically</w:t>
      </w:r>
      <w:r>
        <w:t xml:space="preserve"> </w:t>
      </w:r>
      <w:r>
        <w:t xml:space="preserve">equivalent through the shared state potential.</w:t>
      </w:r>
    </w:p>
    <w:bookmarkEnd w:id="26"/>
    <w:bookmarkStart w:id="27" w:name="effect-of-canonical-state-reuse"/>
    <w:p>
      <w:pPr>
        <w:pStyle w:val="Heading2"/>
      </w:pPr>
      <w:r>
        <w:t xml:space="preserve">Effect of Canonical State Reuse</w:t>
      </w:r>
    </w:p>
    <w:p>
      <w:pPr>
        <w:pStyle w:val="FirstParagraph"/>
      </w:pPr>
      <w:r>
        <w:t xml:space="preserve">We assess the effect of state reuse with 25 fixed StaB-ddG checkpoints</w:t>
      </w:r>
      <w:r>
        <w:t xml:space="preserve"> </w:t>
      </w:r>
      <w:r>
        <w:t xml:space="preserve">covering five folds and five seeds. Independent and canonical inference use</w:t>
      </w:r>
      <w:r>
        <w:t xml:space="preserve"> </w:t>
      </w:r>
      <w:r>
        <w:t xml:space="preserve">the same panels and nested Monte Carlo sample counts</w:t>
      </w:r>
      <w:r>
        <w:t xml:space="preserve"> </w:t>
      </w:r>
      <m:oMath>
        <m:r>
          <m:t>N</m:t>
        </m:r>
        <m:r>
          <m:rPr>
            <m:sty m:val="p"/>
          </m:rPr>
          <m:t>∈</m:t>
        </m:r>
        <m:r>
          <m:rPr>
            <m:sty m:val="p"/>
          </m:rPr>
          <m:t>{</m:t>
        </m:r>
        <m:r>
          <m:t>1</m:t>
        </m:r>
        <m:r>
          <m:rPr>
            <m:sty m:val="p"/>
          </m:rPr>
          <m:t>,</m:t>
        </m:r>
        <m:r>
          <m:t>5</m:t>
        </m:r>
        <m:r>
          <m:rPr>
            <m:sty m:val="p"/>
          </m:rPr>
          <m:t>,</m:t>
        </m:r>
        <m:r>
          <m:t>20</m:t>
        </m:r>
        <m:r>
          <m:rPr>
            <m:sty m:val="p"/>
          </m:rPr>
          <m:t>,</m:t>
        </m:r>
        <m:r>
          <m:t>100</m:t>
        </m:r>
        <m:r>
          <m:rPr>
            <m:sty m:val="p"/>
          </m:rPr>
          <m:t>}</m:t>
        </m:r>
      </m:oMath>
      <w:r>
        <w:t xml:space="preserve">. Independent mean path error decreases from 0.751 to</w:t>
      </w:r>
      <w:r>
        <w:t xml:space="preserve"> </w:t>
      </w:r>
      <w:r>
        <w:t xml:space="preserve">0.074 kcal mol</w:t>
      </w:r>
      <w:r>
        <w:rPr>
          <w:vertAlign w:val="superscript"/>
        </w:rPr>
        <w:t xml:space="preserve">-1</w:t>
      </w:r>
      <w:r>
        <w:t xml:space="preserve">, approximately following</w:t>
      </w:r>
      <w:r>
        <w:t xml:space="preserve"> </w:t>
      </w:r>
      <m:oMath>
        <m:sSup>
          <m:e>
            <m:r>
              <m:t>N</m:t>
            </m:r>
          </m:e>
          <m:sup>
            <m:r>
              <m:rPr>
                <m:sty m:val="p"/>
              </m:rPr>
              <m:t>−</m:t>
            </m:r>
            <m:r>
              <m:t>1</m:t>
            </m:r>
            <m:r>
              <m:rPr>
                <m:sty m:val="p"/>
              </m:rPr>
              <m:t>/</m:t>
            </m:r>
            <m:r>
              <m:t>2</m:t>
            </m:r>
          </m:sup>
        </m:sSup>
      </m:oMath>
      <w:r>
        <w:t xml:space="preserve"> </w:t>
      </w:r>
      <w:r>
        <w:t xml:space="preserve">(Fig. 2b). Reusing each state estimate across edges</w:t>
      </w:r>
      <w:r>
        <w:t xml:space="preserve"> </w:t>
      </w:r>
      <w:r>
        <w:t xml:space="preserve">yields zero measured reverse, path and cycle residuals at every</w:t>
      </w:r>
      <w:r>
        <w:t xml:space="preserve"> </w:t>
      </w:r>
      <m:oMath>
        <m:r>
          <m:t>N</m:t>
        </m:r>
      </m:oMath>
      <w:r>
        <w:t xml:space="preserve">.</w:t>
      </w:r>
      <w:r>
        <w:t xml:space="preserve"> </w:t>
      </w:r>
      <w:r>
        <w:t xml:space="preserve">In the paired evaluation at</w:t>
      </w:r>
      <w:r>
        <w:t xml:space="preserve"> </w:t>
      </w:r>
      <m:oMath>
        <m:r>
          <m:t>N</m:t>
        </m:r>
        <m:r>
          <m:rPr>
            <m:sty m:val="p"/>
          </m:rPr>
          <m:t>=</m:t>
        </m:r>
        <m:r>
          <m:t>20</m:t>
        </m:r>
      </m:oMath>
      <w:r>
        <w:t xml:space="preserve">, canonical reuse preserves the</w:t>
      </w:r>
      <w:r>
        <w:t xml:space="preserve"> </w:t>
      </w:r>
      <w:r>
        <w:t xml:space="preserve">WT-to-mutant estimates and their predictive metrics while enforcing</w:t>
      </w:r>
      <w:r>
        <w:t xml:space="preserve"> </w:t>
      </w:r>
      <w:r>
        <w:t xml:space="preserve">closure across the state graph.</w:t>
      </w:r>
    </w:p>
    <w:p>
      <w:pPr>
        <w:pStyle w:val="BodyText"/>
      </w:pPr>
      <w:r>
        <w:t xml:space="preserve">A computational evaluation using the seed-42 DiMA-PPI checkpoints covers</w:t>
      </w:r>
      <w:r>
        <w:t xml:space="preserve"> </w:t>
      </w:r>
      <w:r>
        <w:t xml:space="preserve">793 amino-acid states, 1,586 bound/free contexts and 11,306 directed edges</w:t>
      </w:r>
      <w:r>
        <w:t xml:space="preserve"> </w:t>
      </w:r>
      <w:r>
        <w:t xml:space="preserve">in PPI-Path92. Independent edge evaluation</w:t>
      </w:r>
      <w:r>
        <w:t xml:space="preserve"> </w:t>
      </w:r>
      <w:r>
        <w:t xml:space="preserve">requests 45,224 context scores; canonical reuse requires 1,586, a</w:t>
      </w:r>
      <w:r>
        <w:t xml:space="preserve"> </w:t>
      </w:r>
      <w:r>
        <w:t xml:space="preserve">28.5-fold reduction. On an Intel Core i7-12700KF with eight PyTorch CPU</w:t>
      </w:r>
      <w:r>
        <w:t xml:space="preserve"> </w:t>
      </w:r>
      <w:r>
        <w:t xml:space="preserve">threads and batch size 32, model inference time decreases from 469.4 to</w:t>
      </w:r>
      <w:r>
        <w:t xml:space="preserve"> </w:t>
      </w:r>
      <w:r>
        <w:t xml:space="preserve">16.1 seconds, corresponding to a 29.1-fold speedup. Checkpoint/cache loading, graph assembly and disk</w:t>
      </w:r>
      <w:r>
        <w:t xml:space="preserve"> </w:t>
      </w:r>
      <w:r>
        <w:t xml:space="preserve">I/O are performed outside the timed region. The mean and maximum absolute</w:t>
      </w:r>
      <w:r>
        <w:t xml:space="preserve"> </w:t>
      </w:r>
      <w:r>
        <w:t xml:space="preserve">prediction differences between the two inference procedures are</w:t>
      </w:r>
      <w:r>
        <w:t xml:space="preserve"> </w:t>
      </w:r>
      <m:oMath>
        <m:r>
          <m:t>1.10</m:t>
        </m:r>
        <m:r>
          <m:rPr>
            <m:sty m:val="p"/>
          </m:rPr>
          <m:t>×</m:t>
        </m:r>
        <m:sSup>
          <m:e>
            <m:r>
              <m:t>10</m:t>
            </m:r>
          </m:e>
          <m:sup>
            <m:r>
              <m:rPr>
                <m:sty m:val="p"/>
              </m:rPr>
              <m:t>−</m:t>
            </m:r>
            <m:r>
              <m:t>7</m:t>
            </m:r>
          </m:sup>
        </m:sSup>
      </m:oMath>
      <w:r>
        <w:t xml:space="preserve"> </w:t>
      </w:r>
      <w:r>
        <w:t xml:space="preserve">and</w:t>
      </w:r>
      <w:r>
        <w:t xml:space="preserve"> </w:t>
      </w:r>
      <m:oMath>
        <m:r>
          <m:t>1.67</m:t>
        </m:r>
        <m:r>
          <m:rPr>
            <m:sty m:val="p"/>
          </m:rPr>
          <m:t>×</m:t>
        </m:r>
        <m:sSup>
          <m:e>
            <m:r>
              <m:t>10</m:t>
            </m:r>
          </m:e>
          <m:sup>
            <m:r>
              <m:rPr>
                <m:sty m:val="p"/>
              </m:rPr>
              <m:t>−</m:t>
            </m:r>
            <m:r>
              <m:t>6</m:t>
            </m:r>
          </m:sup>
        </m:sSup>
      </m:oMath>
      <w:r>
        <w:t xml:space="preserve"> kcal mol</w:t>
      </w:r>
      <w:r>
        <w:rPr>
          <w:vertAlign w:val="superscript"/>
        </w:rPr>
        <w:t xml:space="preserve">-1</w:t>
      </w:r>
      <w:r>
        <w:t xml:space="preserve">, and reused scores give zero measured</w:t>
      </w:r>
      <w:r>
        <w:t xml:space="preserve"> </w:t>
      </w:r>
      <w:r>
        <w:t xml:space="preserve">closure residuals.</w:t>
      </w:r>
    </w:p>
    <w:bookmarkEnd w:id="27"/>
    <w:bookmarkEnd w:id="28"/>
    <w:bookmarkStart w:id="29" w:name="discussion-and-conclusion"/>
    <w:p>
      <w:pPr>
        <w:pStyle w:val="Heading1"/>
      </w:pPr>
      <w:r>
        <w:t xml:space="preserve">Discussion and Conclusion</w:t>
      </w:r>
    </w:p>
    <w:p>
      <w:pPr>
        <w:pStyle w:val="FirstParagraph"/>
      </w:pPr>
      <w:r>
        <w:t xml:space="preserve">DiMA-PPI combines a shared four-state encoder with canonical state identity</w:t>
      </w:r>
      <w:r>
        <w:t xml:space="preserve"> </w:t>
      </w:r>
      <w:r>
        <w:t xml:space="preserve">to produce globally consistent mutation predictions. It achieves PCC 0.757</w:t>
      </w:r>
      <w:r>
        <w:t xml:space="preserve"> </w:t>
      </w:r>
      <w:r>
        <w:t xml:space="preserve">on S1129 and RMSE 1.611 on the PPI-Path92 compositional benchmark, with</w:t>
      </w:r>
      <w:r>
        <w:t xml:space="preserve"> </w:t>
      </w:r>
      <w:r>
        <w:t xml:space="preserve">path and cycle residuals at numerical precision. Fixed-weight experiments</w:t>
      </w:r>
      <w:r>
        <w:t xml:space="preserve"> </w:t>
      </w:r>
      <w:r>
        <w:t xml:space="preserve">establish canonical scalar reuse as an effective way to preserve consistency</w:t>
      </w:r>
      <w:r>
        <w:t xml:space="preserve"> </w:t>
      </w:r>
      <w:r>
        <w:t xml:space="preserve">and reduce repeated inference across state graphs.</w:t>
      </w:r>
    </w:p>
    <w:p>
      <w:pPr>
        <w:pStyle w:val="BodyText"/>
      </w:pPr>
      <w:r>
        <w:t xml:space="preserve">Extensions to condition-aware states, conformational ensembles and</w:t>
      </w:r>
      <w:r>
        <w:t xml:space="preserve"> </w:t>
      </w:r>
      <w:r>
        <w:t xml:space="preserve">multi-site mutation paths provide further directions for evaluation.</w:t>
      </w:r>
    </w:p>
    <w:bookmarkEnd w:id="29"/>
    <w:bookmarkStart w:id="30" w:name="acknowledgment"/>
    <w:p>
      <w:pPr>
        <w:pStyle w:val="Heading1"/>
      </w:pPr>
      <w:r>
        <w:t xml:space="preserve">Acknowledgment</w:t>
      </w:r>
    </w:p>
    <w:p>
      <w:pPr>
        <w:pStyle w:val="FirstParagraph"/>
      </w:pPr>
      <w:r>
        <w:t xml:space="preserve">OpenAI Codex assisted with manuscript drafting, formatting and result-summary</w:t>
      </w:r>
      <w:r>
        <w:t xml:space="preserve"> </w:t>
      </w:r>
      <w:r>
        <w:t xml:space="preserve">visualization.</w:t>
      </w:r>
    </w:p>
    <w:bookmarkEnd w:id="30"/>
    <w:bookmarkStart w:id="32" w:name="references"/>
    <w:p>
      <w:pPr>
        <w:pStyle w:val="Heading1"/>
      </w:pPr>
      <w:r>
        <w:t xml:space="preserve">References</w:t>
      </w:r>
    </w:p>
    <w:p>
      <w:pPr>
        <w:pStyle w:val="FirstParagraph"/>
        <w:spacing w:after="80"/>
      </w:pPr>
      <w:r>
        <w:rPr>
          <w:sz w:val="18"/>
        </w:rPr>
        <w:t xml:space="preserve">[1] J. Schymkowitz, J. Borg, F. Stricher, R. Nys, F. Rousseau, and L. Serrano,</w:t>
      </w:r>
      <w:r>
        <w:rPr>
          <w:sz w:val="18"/>
        </w:rPr>
        <w:t xml:space="preserve"> </w:t>
      </w:r>
      <w:r>
        <w:rPr>
          <w:sz w:val="18"/>
        </w:rPr>
        <w:t xml:space="preserve">“The</w:t>
      </w:r>
      <w:r>
        <w:rPr>
          <w:sz w:val="18"/>
        </w:rPr>
        <w:t xml:space="preserve"> </w:t>
      </w:r>
      <w:r>
        <w:rPr>
          <w:sz w:val="18"/>
        </w:rPr>
        <w:t xml:space="preserve">FoldX</w:t>
      </w:r>
      <w:r>
        <w:rPr>
          <w:sz w:val="18"/>
        </w:rPr>
        <w:t xml:space="preserve"> </w:t>
      </w:r>
      <w:r>
        <w:rPr>
          <w:sz w:val="18"/>
        </w:rPr>
        <w:t xml:space="preserve">web server: an online force field,”</w:t>
      </w:r>
      <w:r>
        <w:rPr>
          <w:sz w:val="18"/>
        </w:rPr>
        <w:t xml:space="preserve"> </w:t>
      </w:r>
      <w:r>
        <w:rPr>
          <w:i/>
          <w:iCs/>
          <w:sz w:val="18"/>
        </w:rPr>
        <w:t xml:space="preserve">Nucleic Acids</w:t>
      </w:r>
      <w:r>
        <w:rPr>
          <w:i/>
          <w:iCs/>
          <w:sz w:val="18"/>
        </w:rPr>
        <w:t xml:space="preserve"> </w:t>
      </w:r>
      <w:r>
        <w:rPr>
          <w:i/>
          <w:iCs/>
          <w:sz w:val="18"/>
        </w:rPr>
        <w:t xml:space="preserve">Research</w:t>
      </w:r>
      <w:r>
        <w:rPr>
          <w:sz w:val="18"/>
        </w:rPr>
        <w:t xml:space="preserve">, vol. 33, no. suppl_2, pp. W382–W388, 2005.</w:t>
      </w:r>
    </w:p>
    <w:p>
      <w:pPr>
        <w:pStyle w:val="BodyText"/>
        <w:spacing w:after="80"/>
      </w:pPr>
      <w:r>
        <w:rPr>
          <w:sz w:val="18"/>
        </w:rPr>
        <w:t xml:space="preserve">[2] N. Zhang, Y. Chen, H. Lu, F. Zhao, R. Vera Alvarez, A. Goncearenco, A. R.</w:t>
      </w:r>
      <w:r>
        <w:rPr>
          <w:sz w:val="18"/>
        </w:rPr>
        <w:t xml:space="preserve"> </w:t>
      </w:r>
      <w:r>
        <w:rPr>
          <w:sz w:val="18"/>
        </w:rPr>
        <w:t xml:space="preserve">Panchenko, and M. Li,</w:t>
      </w:r>
      <w:r>
        <w:rPr>
          <w:sz w:val="18"/>
        </w:rPr>
        <w:t xml:space="preserve"> </w:t>
      </w:r>
      <w:r>
        <w:rPr>
          <w:sz w:val="18"/>
        </w:rPr>
        <w:t xml:space="preserve">“</w:t>
      </w:r>
      <w:r>
        <w:rPr>
          <w:sz w:val="18"/>
        </w:rPr>
        <w:t xml:space="preserve">MutaBind2</w:t>
      </w:r>
      <w:r>
        <w:rPr>
          <w:sz w:val="18"/>
        </w:rPr>
        <w:t xml:space="preserve">: Predicting the impacts of single and</w:t>
      </w:r>
      <w:r>
        <w:rPr>
          <w:sz w:val="18"/>
        </w:rPr>
        <w:t xml:space="preserve"> </w:t>
      </w:r>
      <w:r>
        <w:rPr>
          <w:sz w:val="18"/>
        </w:rPr>
        <w:t xml:space="preserve">multiple mutations on protein–protein interactions,”</w:t>
      </w:r>
      <w:r>
        <w:rPr>
          <w:sz w:val="18"/>
        </w:rPr>
        <w:t xml:space="preserve"> </w:t>
      </w:r>
      <w:r>
        <w:rPr>
          <w:i/>
          <w:iCs/>
          <w:sz w:val="18"/>
        </w:rPr>
        <w:t xml:space="preserve">iScience</w:t>
      </w:r>
      <w:r>
        <w:rPr>
          <w:sz w:val="18"/>
        </w:rPr>
        <w:t xml:space="preserve">,</w:t>
      </w:r>
      <w:r>
        <w:rPr>
          <w:sz w:val="18"/>
        </w:rPr>
        <w:t xml:space="preserve"> </w:t>
      </w:r>
      <w:r>
        <w:rPr>
          <w:sz w:val="18"/>
        </w:rPr>
        <w:t xml:space="preserve">vol. 23, no. 3, p. 100939, 2020.</w:t>
      </w:r>
    </w:p>
    <w:p>
      <w:pPr>
        <w:pStyle w:val="BodyText"/>
        <w:spacing w:after="80"/>
      </w:pPr>
      <w:r>
        <w:rPr>
          <w:sz w:val="18"/>
        </w:rPr>
        <w:t xml:space="preserve">[3] C. H. M. Rodrigues, Y. Myung, D. E. V. Pires, and D. B. Ascher,</w:t>
      </w:r>
      <w:r>
        <w:rPr>
          <w:sz w:val="18"/>
        </w:rPr>
        <w:t xml:space="preserve"> </w:t>
      </w:r>
      <w:r>
        <w:rPr>
          <w:sz w:val="18"/>
        </w:rPr>
        <w:t xml:space="preserve">“</w:t>
      </w:r>
      <w:r>
        <w:rPr>
          <w:sz w:val="18"/>
        </w:rPr>
        <w:t xml:space="preserve">mCSM-PPI2</w:t>
      </w:r>
      <w:r>
        <w:rPr>
          <w:sz w:val="18"/>
        </w:rPr>
        <w:t xml:space="preserve">:</w:t>
      </w:r>
      <w:r>
        <w:rPr>
          <w:sz w:val="18"/>
        </w:rPr>
        <w:t xml:space="preserve"> </w:t>
      </w:r>
      <w:r>
        <w:rPr>
          <w:sz w:val="18"/>
        </w:rPr>
        <w:t xml:space="preserve">predicting the effects of mutations on protein–protein interactions,”</w:t>
      </w:r>
      <w:r>
        <w:rPr>
          <w:sz w:val="18"/>
        </w:rPr>
        <w:t xml:space="preserve"> </w:t>
      </w:r>
      <w:r>
        <w:rPr>
          <w:i/>
          <w:iCs/>
          <w:sz w:val="18"/>
        </w:rPr>
        <w:t xml:space="preserve">Nucleic Acids Research</w:t>
      </w:r>
      <w:r>
        <w:rPr>
          <w:sz w:val="18"/>
        </w:rPr>
        <w:t xml:space="preserve">, vol. 47, no. W1, pp. W338–W344, 2019.</w:t>
      </w:r>
    </w:p>
    <w:p>
      <w:pPr>
        <w:pStyle w:val="BodyText"/>
        <w:spacing w:after="80"/>
      </w:pPr>
      <w:r>
        <w:rPr>
          <w:sz w:val="18"/>
        </w:rPr>
        <w:t xml:space="preserve">[4] Y. Zhou, Y. Myung, C. H. M. Rodrigues, and D. B. Ascher,</w:t>
      </w:r>
      <w:r>
        <w:rPr>
          <w:sz w:val="18"/>
        </w:rPr>
        <w:t xml:space="preserve"> </w:t>
      </w:r>
      <w:r>
        <w:rPr>
          <w:sz w:val="18"/>
        </w:rPr>
        <w:t xml:space="preserve">“</w:t>
      </w:r>
      <w:r>
        <w:rPr>
          <w:sz w:val="18"/>
        </w:rPr>
        <w:t xml:space="preserve">DDMut-PPI</w:t>
      </w:r>
      <w:r>
        <w:rPr>
          <w:sz w:val="18"/>
        </w:rPr>
        <w:t xml:space="preserve">:</w:t>
      </w:r>
      <w:r>
        <w:rPr>
          <w:sz w:val="18"/>
        </w:rPr>
        <w:t xml:space="preserve"> </w:t>
      </w:r>
      <w:r>
        <w:rPr>
          <w:sz w:val="18"/>
        </w:rPr>
        <w:t xml:space="preserve">predicting effects of mutations on protein–protein interactions using</w:t>
      </w:r>
      <w:r>
        <w:rPr>
          <w:sz w:val="18"/>
        </w:rPr>
        <w:t xml:space="preserve"> </w:t>
      </w:r>
      <w:r>
        <w:rPr>
          <w:sz w:val="18"/>
        </w:rPr>
        <w:t xml:space="preserve">graph-based deep learning,”</w:t>
      </w:r>
      <w:r>
        <w:rPr>
          <w:sz w:val="18"/>
        </w:rPr>
        <w:t xml:space="preserve"> </w:t>
      </w:r>
      <w:r>
        <w:rPr>
          <w:i/>
          <w:iCs/>
          <w:sz w:val="18"/>
        </w:rPr>
        <w:t xml:space="preserve">Nucleic Acids Research</w:t>
      </w:r>
      <w:r>
        <w:rPr>
          <w:sz w:val="18"/>
        </w:rPr>
        <w:t xml:space="preserve">, vol. 52, no. W1,</w:t>
      </w:r>
      <w:r>
        <w:rPr>
          <w:sz w:val="18"/>
        </w:rPr>
        <w:t xml:space="preserve"> </w:t>
      </w:r>
      <w:r>
        <w:rPr>
          <w:sz w:val="18"/>
        </w:rPr>
        <w:t xml:space="preserve">pp. W207–W214, 2024.</w:t>
      </w:r>
    </w:p>
    <w:p>
      <w:pPr>
        <w:pStyle w:val="BodyText"/>
        <w:spacing w:after="80"/>
      </w:pPr>
      <w:r>
        <w:rPr>
          <w:sz w:val="18"/>
        </w:rPr>
        <w:t xml:space="preserve">[5] X. Liu, Y. Luo, P. Li, S. Song, and J. Peng,</w:t>
      </w:r>
      <w:r>
        <w:rPr>
          <w:sz w:val="18"/>
        </w:rPr>
        <w:t xml:space="preserve"> </w:t>
      </w:r>
      <w:r>
        <w:rPr>
          <w:sz w:val="18"/>
        </w:rPr>
        <w:t xml:space="preserve">“Deep geometric representations</w:t>
      </w:r>
      <w:r>
        <w:rPr>
          <w:sz w:val="18"/>
        </w:rPr>
        <w:t xml:space="preserve"> </w:t>
      </w:r>
      <w:r>
        <w:rPr>
          <w:sz w:val="18"/>
        </w:rPr>
        <w:t xml:space="preserve">for modeling effects of mutations on protein–protein binding affinity,”</w:t>
      </w:r>
      <w:r>
        <w:rPr>
          <w:sz w:val="18"/>
        </w:rPr>
        <w:t xml:space="preserve"> </w:t>
      </w:r>
      <w:r>
        <w:rPr>
          <w:i/>
          <w:iCs/>
          <w:sz w:val="18"/>
        </w:rPr>
        <w:t xml:space="preserve">PLoS Computational Biology</w:t>
      </w:r>
      <w:r>
        <w:rPr>
          <w:sz w:val="18"/>
        </w:rPr>
        <w:t xml:space="preserve">, vol. 17, no. 8, p. e1009284, 2021.</w:t>
      </w:r>
    </w:p>
    <w:p>
      <w:pPr>
        <w:pStyle w:val="BodyText"/>
        <w:spacing w:after="80"/>
      </w:pPr>
      <w:r>
        <w:rPr>
          <w:sz w:val="18"/>
        </w:rPr>
        <w:t xml:space="preserve">[6] J. Wu, J. Sun, T. Liang, Y. Zhang, H. Zhang, T. Zhang, X. Feng, P. Gao, P. Xu,</w:t>
      </w:r>
      <w:r>
        <w:rPr>
          <w:sz w:val="18"/>
        </w:rPr>
        <w:t xml:space="preserve"> </w:t>
      </w:r>
      <w:r>
        <w:rPr>
          <w:sz w:val="18"/>
        </w:rPr>
        <w:t xml:space="preserve">and J. Li,</w:t>
      </w:r>
      <w:r>
        <w:rPr>
          <w:sz w:val="18"/>
        </w:rPr>
        <w:t xml:space="preserve"> </w:t>
      </w:r>
      <w:r>
        <w:rPr>
          <w:sz w:val="18"/>
        </w:rPr>
        <w:t xml:space="preserve">“</w:t>
      </w:r>
      <w:r>
        <w:rPr>
          <w:sz w:val="18"/>
        </w:rPr>
        <w:t xml:space="preserve">DSSA-PPI</w:t>
      </w:r>
      <w:r>
        <w:rPr>
          <w:sz w:val="18"/>
        </w:rPr>
        <w:t xml:space="preserve">: enhancing binding affinity change prediction upon</w:t>
      </w:r>
      <w:r>
        <w:rPr>
          <w:sz w:val="18"/>
        </w:rPr>
        <w:t xml:space="preserve"> </w:t>
      </w:r>
      <w:r>
        <w:rPr>
          <w:sz w:val="18"/>
        </w:rPr>
        <w:t xml:space="preserve">protein mutations using disentangled structure–sequence aware attention,”</w:t>
      </w:r>
      <w:r>
        <w:rPr>
          <w:sz w:val="18"/>
        </w:rPr>
        <w:t xml:space="preserve"> </w:t>
      </w:r>
      <w:r>
        <w:rPr>
          <w:i/>
          <w:iCs/>
          <w:sz w:val="18"/>
        </w:rPr>
        <w:t xml:space="preserve">Chemical Science</w:t>
      </w:r>
      <w:r>
        <w:rPr>
          <w:sz w:val="18"/>
        </w:rPr>
        <w:t xml:space="preserve">, vol. 17, no. 7, pp. 3719–3732, 2026.</w:t>
      </w:r>
    </w:p>
    <w:p>
      <w:pPr>
        <w:pStyle w:val="BodyText"/>
        <w:spacing w:after="80"/>
      </w:pPr>
      <w:r>
        <w:rPr>
          <w:sz w:val="18"/>
        </w:rPr>
        <w:t xml:space="preserve">[7] J. Jankauskait</w:t>
      </w:r>
      <w:r>
        <w:rPr>
          <w:sz w:val="18"/>
        </w:rPr>
        <w:t xml:space="preserve">ė</w:t>
      </w:r>
      <w:r>
        <w:rPr>
          <w:sz w:val="18"/>
        </w:rPr>
        <w:t xml:space="preserve">, B. Jim</w:t>
      </w:r>
      <w:r>
        <w:rPr>
          <w:sz w:val="18"/>
        </w:rPr>
        <w:t xml:space="preserve">é</w:t>
      </w:r>
      <w:r>
        <w:rPr>
          <w:sz w:val="18"/>
        </w:rPr>
        <w:t xml:space="preserve">nez-Garc</w:t>
      </w:r>
      <w:r>
        <w:rPr>
          <w:sz w:val="18"/>
        </w:rPr>
        <w:t xml:space="preserve">í</w:t>
      </w:r>
      <w:r>
        <w:rPr>
          <w:sz w:val="18"/>
        </w:rPr>
        <w:t xml:space="preserve">a, J. Dapk</w:t>
      </w:r>
      <w:r>
        <w:rPr>
          <w:sz w:val="18"/>
        </w:rPr>
        <w:t xml:space="preserve">ū</w:t>
      </w:r>
      <w:r>
        <w:rPr>
          <w:sz w:val="18"/>
        </w:rPr>
        <w:t xml:space="preserve">nas,</w:t>
      </w:r>
      <w:r>
        <w:rPr>
          <w:sz w:val="18"/>
        </w:rPr>
        <w:t xml:space="preserve"> </w:t>
      </w:r>
      <w:r>
        <w:rPr>
          <w:sz w:val="18"/>
        </w:rPr>
        <w:t xml:space="preserve">J. Fern</w:t>
      </w:r>
      <w:r>
        <w:rPr>
          <w:sz w:val="18"/>
        </w:rPr>
        <w:t xml:space="preserve">á</w:t>
      </w:r>
      <w:r>
        <w:rPr>
          <w:sz w:val="18"/>
        </w:rPr>
        <w:t xml:space="preserve">ndez-Recio, and I. H. Moal,</w:t>
      </w:r>
      <w:r>
        <w:rPr>
          <w:sz w:val="18"/>
        </w:rPr>
        <w:t xml:space="preserve"> </w:t>
      </w:r>
      <w:r>
        <w:rPr>
          <w:sz w:val="18"/>
        </w:rPr>
        <w:t xml:space="preserve">“</w:t>
      </w:r>
      <w:r>
        <w:rPr>
          <w:sz w:val="18"/>
        </w:rPr>
        <w:t xml:space="preserve">SKEMPI 2.0</w:t>
      </w:r>
      <w:r>
        <w:rPr>
          <w:sz w:val="18"/>
        </w:rPr>
        <w:t xml:space="preserve">: an updated benchmark</w:t>
      </w:r>
      <w:r>
        <w:rPr>
          <w:sz w:val="18"/>
        </w:rPr>
        <w:t xml:space="preserve"> </w:t>
      </w:r>
      <w:r>
        <w:rPr>
          <w:sz w:val="18"/>
        </w:rPr>
        <w:t xml:space="preserve">of changes in protein–protein binding energy, kinetics and thermodynamics</w:t>
      </w:r>
      <w:r>
        <w:rPr>
          <w:sz w:val="18"/>
        </w:rPr>
        <w:t xml:space="preserve"> </w:t>
      </w:r>
      <w:r>
        <w:rPr>
          <w:sz w:val="18"/>
        </w:rPr>
        <w:t xml:space="preserve">upon mutation,”</w:t>
      </w:r>
      <w:r>
        <w:rPr>
          <w:sz w:val="18"/>
        </w:rPr>
        <w:t xml:space="preserve"> </w:t>
      </w:r>
      <w:r>
        <w:rPr>
          <w:i/>
          <w:iCs/>
          <w:sz w:val="18"/>
        </w:rPr>
        <w:t xml:space="preserve">Bioinformatics</w:t>
      </w:r>
      <w:r>
        <w:rPr>
          <w:sz w:val="18"/>
        </w:rPr>
        <w:t xml:space="preserve">, vol. 35, no. 3, pp. 462–469, 2019.</w:t>
      </w:r>
    </w:p>
    <w:p>
      <w:pPr>
        <w:pStyle w:val="BodyText"/>
        <w:spacing w:after="80"/>
      </w:pPr>
      <w:r>
        <w:rPr>
          <w:sz w:val="18"/>
        </w:rPr>
        <w:t xml:space="preserve">[8] M. Tsishyn, F. Pucci, and M. Rooman,</w:t>
      </w:r>
      <w:r>
        <w:rPr>
          <w:sz w:val="18"/>
        </w:rPr>
        <w:t xml:space="preserve"> </w:t>
      </w:r>
      <w:r>
        <w:rPr>
          <w:sz w:val="18"/>
        </w:rPr>
        <w:t xml:space="preserve">“Quantification of biases in predictions</w:t>
      </w:r>
      <w:r>
        <w:rPr>
          <w:sz w:val="18"/>
        </w:rPr>
        <w:t xml:space="preserve"> </w:t>
      </w:r>
      <w:r>
        <w:rPr>
          <w:sz w:val="18"/>
        </w:rPr>
        <w:t xml:space="preserve">of protein–protein binding affinity changes upon mutations,”</w:t>
      </w:r>
      <w:r>
        <w:rPr>
          <w:sz w:val="18"/>
        </w:rPr>
        <w:t xml:space="preserve"> </w:t>
      </w:r>
      <w:r>
        <w:rPr>
          <w:i/>
          <w:iCs/>
          <w:sz w:val="18"/>
        </w:rPr>
        <w:t xml:space="preserve">Briefings in Bioinformatics</w:t>
      </w:r>
      <w:r>
        <w:rPr>
          <w:sz w:val="18"/>
        </w:rPr>
        <w:t xml:space="preserve">, vol. 25, no. 1, p. bbad491, 2024.</w:t>
      </w:r>
    </w:p>
    <w:p>
      <w:pPr>
        <w:pStyle w:val="BodyText"/>
        <w:spacing w:after="80"/>
      </w:pPr>
      <w:r>
        <w:rPr>
          <w:sz w:val="18"/>
        </w:rPr>
        <w:t xml:space="preserve">[9] A. Deng, K. D. Householder, F. Wu, K. C. Garcia, and B. L. Trippe,</w:t>
      </w:r>
      <w:r>
        <w:rPr>
          <w:sz w:val="18"/>
        </w:rPr>
        <w:t xml:space="preserve"> </w:t>
      </w:r>
      <w:r>
        <w:rPr>
          <w:sz w:val="18"/>
        </w:rPr>
        <w:t xml:space="preserve">“Predicting</w:t>
      </w:r>
      <w:r>
        <w:rPr>
          <w:sz w:val="18"/>
        </w:rPr>
        <w:t xml:space="preserve"> </w:t>
      </w:r>
      <w:r>
        <w:rPr>
          <w:sz w:val="18"/>
        </w:rPr>
        <w:t xml:space="preserve">mutational effects on protein binding from folding energy,”</w:t>
      </w:r>
      <w:r>
        <w:rPr>
          <w:sz w:val="18"/>
        </w:rPr>
        <w:t xml:space="preserve"> </w:t>
      </w:r>
      <w:r>
        <w:rPr>
          <w:sz w:val="18"/>
        </w:rPr>
        <w:t xml:space="preserve">in</w:t>
      </w:r>
      <w:r>
        <w:rPr>
          <w:sz w:val="18"/>
        </w:rPr>
        <w:t xml:space="preserve"> </w:t>
      </w:r>
      <w:r>
        <w:rPr>
          <w:i/>
          <w:iCs/>
          <w:sz w:val="18"/>
        </w:rPr>
        <w:t xml:space="preserve">Proceedings of the 42nd International Conference on Machine Learning</w:t>
      </w:r>
      <w:r>
        <w:rPr>
          <w:sz w:val="18"/>
        </w:rPr>
        <w:t xml:space="preserve">,</w:t>
      </w:r>
      <w:r>
        <w:rPr>
          <w:sz w:val="18"/>
        </w:rPr>
        <w:t xml:space="preserve"> </w:t>
      </w:r>
      <w:r>
        <w:rPr>
          <w:sz w:val="18"/>
        </w:rPr>
        <w:t xml:space="preserve">ser. Proceedings of Machine Learning Research, vol. 267, 2025, pp.</w:t>
      </w:r>
      <w:r>
        <w:rPr>
          <w:sz w:val="18"/>
        </w:rPr>
        <w:t xml:space="preserve"> </w:t>
      </w:r>
      <w:r>
        <w:rPr>
          <w:sz w:val="18"/>
        </w:rPr>
        <w:t xml:space="preserve">13 129–13 151. [Online]. Available:</w:t>
      </w:r>
      <w:r>
        <w:rPr>
          <w:sz w:val="18"/>
        </w:rPr>
        <w:t xml:space="preserve"> </w:t>
      </w:r>
      <w:hyperlink r:id="rId31">
        <w:r>
          <w:rPr>
            <w:rStyle w:val="Hyperlink"/>
          </w:rPr>
          <w:t xml:space="preserve">https://proceedings.mlr.press/v267/deng25d.html</w:t>
        </w:r>
      </w:hyperlink>
    </w:p>
    <w:p>
      <w:pPr>
        <w:pStyle w:val="BodyText"/>
        <w:spacing w:after="80"/>
      </w:pPr>
      <w:r>
        <w:rPr>
          <w:sz w:val="18"/>
        </w:rPr>
        <w:t xml:space="preserve">[10] S. Chaudhury, S. Lyskov, and J. J. Gray,</w:t>
      </w:r>
      <w:r>
        <w:rPr>
          <w:sz w:val="18"/>
        </w:rPr>
        <w:t xml:space="preserve"> </w:t>
      </w:r>
      <w:r>
        <w:rPr>
          <w:sz w:val="18"/>
        </w:rPr>
        <w:t xml:space="preserve">“</w:t>
      </w:r>
      <w:r>
        <w:rPr>
          <w:sz w:val="18"/>
        </w:rPr>
        <w:t xml:space="preserve">PyRosetta</w:t>
      </w:r>
      <w:r>
        <w:rPr>
          <w:sz w:val="18"/>
        </w:rPr>
        <w:t xml:space="preserve">: a script-based</w:t>
      </w:r>
      <w:r>
        <w:rPr>
          <w:sz w:val="18"/>
        </w:rPr>
        <w:t xml:space="preserve"> </w:t>
      </w:r>
      <w:r>
        <w:rPr>
          <w:sz w:val="18"/>
        </w:rPr>
        <w:t xml:space="preserve">interface for implementing molecular modeling algorithms using</w:t>
      </w:r>
      <w:r>
        <w:rPr>
          <w:sz w:val="18"/>
        </w:rPr>
        <w:t xml:space="preserve"> </w:t>
      </w:r>
      <w:r>
        <w:rPr>
          <w:sz w:val="18"/>
        </w:rPr>
        <w:t xml:space="preserve">Rosetta</w:t>
      </w:r>
      <w:r>
        <w:rPr>
          <w:sz w:val="18"/>
        </w:rPr>
        <w:t xml:space="preserve">,”</w:t>
      </w:r>
      <w:r>
        <w:rPr>
          <w:sz w:val="18"/>
        </w:rPr>
        <w:t xml:space="preserve"> </w:t>
      </w:r>
      <w:r>
        <w:rPr>
          <w:i/>
          <w:iCs/>
          <w:sz w:val="18"/>
        </w:rPr>
        <w:t xml:space="preserve">Bioinformatics</w:t>
      </w:r>
      <w:r>
        <w:rPr>
          <w:sz w:val="18"/>
        </w:rPr>
        <w:t xml:space="preserve">, vol. 26, no. 5, pp. 689–691, 2010.</w:t>
      </w:r>
    </w:p>
    <w:p>
      <w:pPr>
        <w:pStyle w:val="BodyText"/>
        <w:spacing w:after="80"/>
      </w:pPr>
      <w:r>
        <w:rPr>
          <w:sz w:val="18"/>
        </w:rPr>
        <w:t xml:space="preserve">[11] Z. Lin, H. Akin, R. Rao</w:t>
      </w:r>
      <w:r>
        <w:rPr>
          <w:sz w:val="18"/>
        </w:rPr>
        <w:t xml:space="preserve"> </w:t>
      </w:r>
      <w:r>
        <w:rPr>
          <w:i/>
          <w:iCs/>
          <w:sz w:val="18"/>
        </w:rPr>
        <w:t xml:space="preserve">et al.</w:t>
      </w:r>
      <w:r>
        <w:rPr>
          <w:sz w:val="18"/>
        </w:rPr>
        <w:t xml:space="preserve">,</w:t>
      </w:r>
      <w:r>
        <w:rPr>
          <w:sz w:val="18"/>
        </w:rPr>
        <w:t xml:space="preserve"> </w:t>
      </w:r>
      <w:r>
        <w:rPr>
          <w:sz w:val="18"/>
        </w:rPr>
        <w:t xml:space="preserve">“Evolutionary-scale prediction of</w:t>
      </w:r>
      <w:r>
        <w:rPr>
          <w:sz w:val="18"/>
        </w:rPr>
        <w:t xml:space="preserve"> </w:t>
      </w:r>
      <w:r>
        <w:rPr>
          <w:sz w:val="18"/>
        </w:rPr>
        <w:t xml:space="preserve">atomic-level protein structure with a language model,”</w:t>
      </w:r>
      <w:r>
        <w:rPr>
          <w:sz w:val="18"/>
        </w:rPr>
        <w:t xml:space="preserve"> </w:t>
      </w:r>
      <w:r>
        <w:rPr>
          <w:i/>
          <w:iCs/>
          <w:sz w:val="18"/>
        </w:rPr>
        <w:t xml:space="preserve">Science</w:t>
      </w:r>
      <w:r>
        <w:rPr>
          <w:sz w:val="18"/>
        </w:rPr>
        <w:t xml:space="preserve">, vol.</w:t>
      </w:r>
      <w:r>
        <w:rPr>
          <w:sz w:val="18"/>
        </w:rPr>
        <w:t xml:space="preserve"> </w:t>
      </w:r>
      <w:r>
        <w:rPr>
          <w:sz w:val="18"/>
        </w:rPr>
        <w:t xml:space="preserve">379, no. 6637, pp. 1123–1130, 2023.</w:t>
      </w:r>
    </w:p>
    <w:p>
      <w:pPr>
        <w:pStyle w:val="BodyText"/>
        <w:spacing w:after="80"/>
      </w:pPr>
      <w:r>
        <w:rPr>
          <w:sz w:val="18"/>
        </w:rPr>
        <w:t xml:space="preserve">[12] J. Dauparas, I. Anishchenko, N. Bennett</w:t>
      </w:r>
      <w:r>
        <w:rPr>
          <w:sz w:val="18"/>
        </w:rPr>
        <w:t xml:space="preserve"> </w:t>
      </w:r>
      <w:r>
        <w:rPr>
          <w:i/>
          <w:iCs/>
          <w:sz w:val="18"/>
        </w:rPr>
        <w:t xml:space="preserve">et al.</w:t>
      </w:r>
      <w:r>
        <w:rPr>
          <w:sz w:val="18"/>
        </w:rPr>
        <w:t xml:space="preserve">,</w:t>
      </w:r>
      <w:r>
        <w:rPr>
          <w:sz w:val="18"/>
        </w:rPr>
        <w:t xml:space="preserve"> </w:t>
      </w:r>
      <w:r>
        <w:rPr>
          <w:sz w:val="18"/>
        </w:rPr>
        <w:t xml:space="preserve">“Robust deep</w:t>
      </w:r>
      <w:r>
        <w:rPr>
          <w:sz w:val="18"/>
        </w:rPr>
        <w:t xml:space="preserve"> </w:t>
      </w:r>
      <w:r>
        <w:rPr>
          <w:sz w:val="18"/>
        </w:rPr>
        <w:t xml:space="preserve">learning-based protein sequence design using</w:t>
      </w:r>
      <w:r>
        <w:rPr>
          <w:sz w:val="18"/>
        </w:rPr>
        <w:t xml:space="preserve"> </w:t>
      </w:r>
      <w:r>
        <w:rPr>
          <w:sz w:val="18"/>
        </w:rPr>
        <w:t xml:space="preserve">ProteinMPNN</w:t>
      </w:r>
      <w:r>
        <w:rPr>
          <w:sz w:val="18"/>
        </w:rPr>
        <w:t xml:space="preserve">,”</w:t>
      </w:r>
      <w:r>
        <w:rPr>
          <w:sz w:val="18"/>
        </w:rPr>
        <w:t xml:space="preserve"> </w:t>
      </w:r>
      <w:r>
        <w:rPr>
          <w:i/>
          <w:iCs/>
          <w:sz w:val="18"/>
        </w:rPr>
        <w:t xml:space="preserve">Science</w:t>
      </w:r>
      <w:r>
        <w:rPr>
          <w:sz w:val="18"/>
        </w:rPr>
        <w:t xml:space="preserve">,</w:t>
      </w:r>
      <w:r>
        <w:rPr>
          <w:sz w:val="18"/>
        </w:rPr>
        <w:t xml:space="preserve"> </w:t>
      </w:r>
      <w:r>
        <w:rPr>
          <w:sz w:val="18"/>
        </w:rPr>
        <w:t xml:space="preserve">vol. 378, no. 6615, pp. 49–56, 2022.</w:t>
      </w:r>
    </w:p>
    <w:bookmarkEnd w:id="32"/>
    <w:sectPr>
      <w:footerReference w:type="default" r:id="rId9"/>
      <w:footnotePr>
        <w:numRestart w:val="eachSect"/>
      </w:footnotePr>
      <w:pgSz w:w="12240" w:h="15840"/>
      <w:pgMar w:top="1080" w:bottom="1080" w:left="1224" w:right="12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52" w:lineRule="auto"/>
    </w:pPr>
    <w:rPr>
      <w:rFonts w:ascii="Times New Roman" w:hAnsi="Times New Roman"/>
      <w:color w:val="000000"/>
      <w:sz w:val="22"/>
    </w:rPr>
  </w:style>
  <w:style w:styleId="BodyText" w:type="paragraph">
    <w:name w:val="Body Text"/>
    <w:basedOn w:val="Normal"/>
    <w:link w:val="BodyTextChar"/>
    <w:qFormat/>
    <w:pPr>
      <w:spacing w:after="180" w:before="180"/>
    </w:pPr>
    <w:rPr>
      <w:rFonts w:ascii="Times New Roman" w:hAnsi="Times New Roman"/>
      <w:color w:val="000000"/>
      <w:sz w:val="22"/>
    </w:rPr>
  </w:style>
  <w:style w:customStyle="1" w:styleId="FirstParagraph" w:type="paragraph">
    <w:name w:val="First Paragraph"/>
    <w:basedOn w:val="BodyText"/>
    <w:next w:val="BodyText"/>
    <w:qFormat/>
    <w:rPr>
      <w:rFonts w:ascii="Times New Roman" w:hAnsi="Times New Roman"/>
      <w:color w:val="000000"/>
      <w:sz w:val="22"/>
    </w:rPr>
  </w:style>
  <w:style w:customStyle="1" w:styleId="Compact" w:type="paragraph">
    <w:name w:val="Compact"/>
    <w:basedOn w:val="BodyText"/>
    <w:qFormat/>
    <w:pPr>
      <w:spacing w:after="36" w:before="36"/>
    </w:pPr>
    <w:rPr>
      <w:rFonts w:ascii="Times New Roman" w:hAnsi="Times New Roman"/>
      <w:color w:val="000000"/>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cstheme="majorBidi" w:ascii="Times New Roman" w:hAnsi="Times New Roman"/>
      <w:color w:val="000000"/>
      <w:sz w:val="2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ascii="Times New Roman" w:hAnsi="Times New Roman"/>
      <w:color w:val="000000"/>
      <w:spacing w:val="15"/>
      <w:sz w:val="22"/>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hAnsi="Times New Roman"/>
      <w:color w:val="000000"/>
      <w:sz w:val="22"/>
      <w:szCs w:val="24"/>
    </w:rPr>
  </w:style>
  <w:style w:styleId="Date" w:type="paragraph">
    <w:name w:val="Date"/>
    <w:basedOn w:val="Title"/>
    <w:next w:val="BodyText"/>
    <w:qFormat/>
    <w:pPr>
      <w:keepNext/>
      <w:keepLines/>
    </w:pPr>
    <w:rPr>
      <w:rFonts w:ascii="Times New Roman" w:hAnsi="Times New Roman"/>
      <w:color w:val="000000"/>
      <w:sz w:val="22"/>
      <w:szCs w:val="24"/>
    </w:rPr>
  </w:style>
  <w:style w:customStyle="1" w:styleId="AbstractTitle" w:type="paragraph">
    <w:name w:val="Abstract Title"/>
    <w:basedOn w:val="Normal"/>
    <w:next w:val="Abstract"/>
    <w:qFormat/>
    <w:pPr>
      <w:keepNext/>
      <w:keepLines/>
      <w:spacing w:after="0" w:before="300"/>
      <w:jc w:val="center"/>
    </w:pPr>
    <w:rPr>
      <w:rFonts w:ascii="Times New Roman" w:hAnsi="Times New Roman"/>
      <w:b/>
      <w:color w:val="000000"/>
      <w:sz w:val="22"/>
      <w:szCs w:val="20"/>
    </w:rPr>
  </w:style>
  <w:style w:customStyle="1" w:styleId="Abstract" w:type="paragraph">
    <w:name w:val="Abstract"/>
    <w:basedOn w:val="Normal"/>
    <w:next w:val="BodyText"/>
    <w:qFormat/>
    <w:pPr>
      <w:keepNext/>
      <w:keepLines/>
      <w:spacing w:after="300" w:before="100"/>
    </w:pPr>
    <w:rPr>
      <w:rFonts w:ascii="Times New Roman" w:hAnsi="Times New Roman"/>
      <w:color w:val="000000"/>
      <w:sz w:val="22"/>
      <w:szCs w:val="20"/>
    </w:rPr>
  </w:style>
  <w:style w:styleId="Bibliography" w:type="paragraph">
    <w:name w:val="Bibliography"/>
    <w:basedOn w:val="Normal"/>
    <w:next w:val="Bibliography"/>
    <w:qFormat/>
    <w:pPr/>
    <w:rPr>
      <w:rFonts w:ascii="Times New Roman" w:hAnsi="Times New Roman"/>
      <w:color w:val="000000"/>
      <w:sz w:val="22"/>
    </w:rPr>
  </w:style>
  <w:style w:styleId="Heading1" w:type="paragraph">
    <w:name w:val="heading 1"/>
    <w:basedOn w:val="Normal"/>
    <w:next w:val="BodyText"/>
    <w:link w:val="Heading1Char"/>
    <w:uiPriority w:val="9"/>
    <w:qFormat/>
    <w:rsid w:val="00A10FD9"/>
    <w:pPr>
      <w:keepNext/>
      <w:keepLines/>
      <w:spacing w:after="80" w:before="200"/>
      <w:outlineLvl w:val="0"/>
    </w:pPr>
    <w:rPr>
      <w:rFonts w:cstheme="majorBidi" w:ascii="Times New Roman" w:hAnsi="Times New Roman"/>
      <w:b/>
      <w:color w:val="000000"/>
      <w:sz w:val="24"/>
      <w:szCs w:val="40"/>
    </w:rPr>
  </w:style>
  <w:style w:styleId="Heading2" w:type="paragraph">
    <w:name w:val="heading 2"/>
    <w:basedOn w:val="Normal"/>
    <w:next w:val="BodyText"/>
    <w:link w:val="Heading2Char"/>
    <w:uiPriority w:val="9"/>
    <w:semiHidden/>
    <w:unhideWhenUsed/>
    <w:qFormat/>
    <w:rsid w:val="00A10FD9"/>
    <w:pPr>
      <w:keepNext/>
      <w:keepLines/>
      <w:spacing w:after="80" w:before="200"/>
      <w:outlineLvl w:val="1"/>
    </w:pPr>
    <w:rPr>
      <w:rFonts w:cstheme="majorBidi" w:ascii="Times New Roman" w:hAnsi="Times New Roman"/>
      <w:b/>
      <w:color w:val="000000"/>
      <w:sz w:val="2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ascii="Times New Roman" w:hAnsi="Times New Roman"/>
      <w:color w:val="000000"/>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ascii="Times New Roman" w:hAnsi="Times New Roman"/>
      <w:i/>
      <w:iCs/>
      <w:color w:val="000000"/>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ascii="Times New Roman" w:hAnsi="Times New Roman"/>
      <w:color w:val="000000"/>
      <w:sz w:val="22"/>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ascii="Times New Roman" w:hAnsi="Times New Roman"/>
      <w:i/>
      <w:iCs/>
      <w:color w:val="000000"/>
      <w:sz w:val="22"/>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ascii="Times New Roman" w:hAnsi="Times New Roman"/>
      <w:color w:val="000000"/>
      <w:sz w:val="22"/>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ascii="Times New Roman" w:hAnsi="Times New Roman"/>
      <w:i/>
      <w:iCs/>
      <w:color w:val="000000"/>
      <w:sz w:val="22"/>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ascii="Times New Roman" w:hAnsi="Times New Roman"/>
      <w:color w:val="000000"/>
      <w:sz w:val="22"/>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olor w:val="000000"/>
      <w:sz w:val="22"/>
    </w:rPr>
  </w:style>
  <w:style w:styleId="FootnoteText" w:type="paragraph">
    <w:name w:val="Footnote Text"/>
    <w:basedOn w:val="Normal"/>
    <w:next w:val="FootnoteText"/>
    <w:uiPriority w:val="9"/>
    <w:unhideWhenUsed/>
    <w:qFormat/>
    <w:rPr>
      <w:rFonts w:ascii="Times New Roman" w:hAnsi="Times New Roman"/>
      <w:color w:val="000000"/>
      <w:sz w:val="22"/>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hAnsi="Times New Roman"/>
      <w:color w:val="000000"/>
      <w:sz w:val="22"/>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b/>
      <w:color w:val="000000"/>
      <w:sz w:val="22"/>
    </w:rPr>
  </w:style>
  <w:style w:customStyle="1" w:styleId="Definition" w:type="paragraph">
    <w:name w:val="Definition"/>
    <w:basedOn w:val="Normal"/>
    <w:rPr>
      <w:rFonts w:ascii="Times New Roman" w:hAnsi="Times New Roman"/>
      <w:color w:val="000000"/>
      <w:sz w:val="22"/>
    </w:rPr>
  </w:style>
  <w:style w:styleId="Caption" w:type="paragraph">
    <w:name w:val="Caption"/>
    <w:basedOn w:val="Normal"/>
    <w:link w:val="BodyTextChar"/>
    <w:pPr>
      <w:spacing w:after="120" w:before="0"/>
    </w:pPr>
    <w:rPr>
      <w:rFonts w:ascii="Times New Roman" w:hAnsi="Times New Roman"/>
      <w:i/>
      <w:color w:val="000000"/>
      <w:sz w:val="22"/>
    </w:rPr>
  </w:style>
  <w:style w:customStyle="1" w:styleId="TableCaption" w:type="paragraph">
    <w:name w:val="Table Caption"/>
    <w:basedOn w:val="Caption"/>
    <w:pPr>
      <w:keepNext/>
    </w:pPr>
    <w:rPr>
      <w:rFonts w:ascii="Times New Roman" w:hAnsi="Times New Roman"/>
      <w:color w:val="000000"/>
      <w:sz w:val="22"/>
    </w:rPr>
  </w:style>
  <w:style w:customStyle="1" w:styleId="ImageCaption" w:type="paragraph">
    <w:name w:val="Image Caption"/>
    <w:basedOn w:val="Caption"/>
    <w:rPr>
      <w:rFonts w:ascii="Times New Roman" w:hAnsi="Times New Roman"/>
      <w:color w:val="000000"/>
      <w:sz w:val="22"/>
    </w:rPr>
  </w:style>
  <w:style w:customStyle="1" w:styleId="Figure" w:type="paragraph">
    <w:name w:val="Figure"/>
    <w:basedOn w:val="Normal"/>
    <w:rPr>
      <w:rFonts w:ascii="Times New Roman" w:hAnsi="Times New Roman"/>
      <w:color w:val="000000"/>
      <w:sz w:val="22"/>
    </w:rPr>
  </w:style>
  <w:style w:customStyle="1" w:styleId="CaptionedFigure" w:type="paragraph">
    <w:name w:val="Captioned Figure"/>
    <w:basedOn w:val="Figure"/>
    <w:pPr>
      <w:keepNext/>
    </w:pPr>
    <w:rPr>
      <w:rFonts w:ascii="Times New Roman" w:hAnsi="Times New Roman"/>
      <w:color w:val="000000"/>
      <w:sz w:val="22"/>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cstheme="majorBidi" w:ascii="Times New Roman" w:hAnsi="Times New Roman"/>
      <w:b w:val="0"/>
      <w:bCs w:val="0"/>
      <w:color w:val="000000"/>
      <w:sz w:val="22"/>
    </w:rPr>
  </w:style>
  <w:style w:type="paragraph" w:customStyle="1" w:styleId="SourceCode">
    <w:name w:val="Source Code"/>
    <w:basedOn w:val="Normal"/>
    <w:link w:val="VerbatimChar"/>
    <w:pPr>
      <w:wordWrap w:val="off"/>
    </w:pPr>
    <w:rPr>
      <w:rFonts w:ascii="Times New Roman" w:hAnsi="Times New Roman"/>
      <w:color w:val="000000"/>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0" Type="http://schemas.openxmlformats.org/officeDocument/2006/relationships/image" Target="media/rId20.png"/><Relationship Id="rId12" Type="http://schemas.openxmlformats.org/officeDocument/2006/relationships/image" Target="media/rId12.jpg"/><Relationship Id="rId31" Type="http://schemas.openxmlformats.org/officeDocument/2006/relationships/hyperlink" Target="https://proceedings.mlr.press/v267/deng25d.html"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31" Type="http://schemas.openxmlformats.org/officeDocument/2006/relationships/hyperlink" Target="https://proceedings.mlr.press/v267/deng25d.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DiMA-PPI: Canonical State-Potential Learning for Consistent Protein Binding Mutation Prediction</dc:title>
  <dc:creator>Qi Liu et al.</dc:creator>
  <cp:keywords/>
  <dcterms:created xsi:type="dcterms:W3CDTF">2026-10-14T09:06:42Z</dcterms:created>
  <dcterms:modified xsi:type="dcterms:W3CDTF">2026-10-14T09:06:42Z</dcterms:modified>
</cp:coreProperties>
</file>

<file path=docProps/custom.xml><?xml version="1.0" encoding="utf-8"?>
<Properties xmlns="http://schemas.openxmlformats.org/officeDocument/2006/custom-properties" xmlns:vt="http://schemas.openxmlformats.org/officeDocument/2006/docPropsVTypes"/>
</file>