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b/>
          <w:bCs/>
          <w:lang w:val="en-US" w:eastAsia="zh-CN"/>
        </w:rPr>
        <w:t>使用指南</w:t>
      </w:r>
    </w:p>
    <w:p/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发现哪些公司出现重大财务危机程度变动（反映财务稳定性）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如图，进入“风险排名”页面，查看“今日财务危机程度排名”，对风险程度和变动进行排序（默认是按照评分进行排序，德丰）：</w:t>
      </w:r>
    </w:p>
    <w:p>
      <w:pPr>
        <w:widowControl w:val="0"/>
        <w:numPr>
          <w:ilvl w:val="0"/>
          <w:numId w:val="0"/>
        </w:numPr>
        <w:ind w:firstLine="420"/>
        <w:jc w:val="both"/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评分越高，则财务危机程度越大。根据评分不同，有正常（0-20分）、提示（21-30分）、关注（31-40分）和风险（大于40）四档。</w:t>
      </w:r>
    </w:p>
    <w:p>
      <w:pPr>
        <w:widowControl w:val="0"/>
        <w:numPr>
          <w:ilvl w:val="0"/>
          <w:numId w:val="0"/>
        </w:numPr>
        <w:ind w:firstLine="420"/>
        <w:jc w:val="both"/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按照变化进行排序的结果：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3001645"/>
            <wp:effectExtent l="0" t="0" r="571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415540"/>
            <wp:effectExtent l="0" t="0" r="698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说明：除了绝对值的得分，我们可能更需要关注变动情况。</w:t>
      </w:r>
      <w:r>
        <w:rPr>
          <w:rFonts w:hint="eastAsia"/>
          <w:color w:val="FF0000"/>
          <w:lang w:val="en-US" w:eastAsia="zh-CN"/>
        </w:rPr>
        <w:t>即使得分不高，但如果有较大的变动幅度，说明公司有某些指标出现了很大的异动，这仍然值得特别关注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点击证券代码，会跳到个股的风险F10页面，会看到如下公司的近9年危机得分变化趋势。</w:t>
      </w:r>
      <w:r>
        <w:rPr>
          <w:rFonts w:hint="eastAsia"/>
          <w:color w:val="FF0000"/>
          <w:lang w:val="en-US" w:eastAsia="zh-CN"/>
        </w:rPr>
        <w:t>这里也提醒要关注忽然大幅变好的企业。忽然大幅变好，存在财务粉饰的可能性极大。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2170430"/>
            <wp:effectExtent l="0" t="0" r="698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财务造假发现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2492375"/>
            <wp:effectExtent l="0" t="0" r="571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点证券代码，可以进去看该公司最近几年财务粉饰程度变化情况：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184400"/>
            <wp:effectExtent l="0" t="0" r="698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以下是看公司所在的行业排名：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4785" cy="2120900"/>
            <wp:effectExtent l="0" t="0" r="12065" b="1270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指标是分析财务粉饰所用指标。右侧点图的纵轴是代表该公司总得分在行业中的得分位置，如上图，得分位置是-89.96，一个公司这个只有总分值只有一个。横轴是左侧分项指标，在行业中的得分。上图中显示的毛利率增长指标，横轴得分是22.16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三、看财务异动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在F10里，搜索任何公司进去后，点击左侧财务异动看到：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3515" cy="1824990"/>
            <wp:effectExtent l="0" t="0" r="13335" b="381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上图可选框里有五个选项，可以点开看不同类型财务异动。选择后，可看改类型财务是“正常”或“异动”。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下方可看“异常”的具体指标：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941195"/>
            <wp:effectExtent l="0" t="0" r="8255" b="1905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上图中左侧可看每项的具体得分。右侧列表中的“异常”，可以点击看具体哪些指标异常。如点击“涉嫌财务粉饰”中的2018年底对应的异常出现弹框：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00500" cy="2571750"/>
            <wp:effectExtent l="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该弹框可以知道是哪些指标出现了异动，导致“涉嫌财务粉饰”。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特别说明：此处涉嫌财务粉饰，是财务粉饰分析的辅助指标。和“二”中讲的财务粉饰，不是一回事。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四、看债务违约风险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红岸对债券的评级分为三大类：投资、投机和风险（CCC即以下评级）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654935"/>
            <wp:effectExtent l="0" t="0" r="6985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评级为C的公司，违约风险极大。对风险评分持续上调的公司，也值得关注。如下图，阳光股份评分为BB，不属于风险，但风险平分增加2，表明风险在增加。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2755900"/>
            <wp:effectExtent l="0" t="0" r="254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点击代码进入到基本资料页面，点击“同公司发行信用债”，可了解债券详细信息（目前信息还不完全）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2880" cy="1962785"/>
            <wp:effectExtent l="0" t="0" r="13970" b="1841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债券信息需要关注债券余额和到期日，如果债券的到期日过于密集，而公司账上现金不足，可能会有偿债风险。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看财务分析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红岸对公司的财务分析从四个维度进行，即能力对比、收入分析、成本费用分析和资金分析。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看能力对比（六大能力）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看规模和趋势：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选取了三张表中几项反映公司业务增长规模和质量的指标。来自损益表的营业收入，现金流表的经营活动现金流和留存现金流，资产负债表的长短期有息债务、所有者权益。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10175" cy="319087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其中营业收入和经营活动现金流可以相互映照；有息债务和留存现金流可以相互映照；所有者权益增长和收入增长对比，看股东权益变化质量。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资本结构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从存货占比、产权比率、资产负债率、有息债务/资本总额、短期有息债务等五项指标来分析资本结构。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2996565"/>
            <wp:effectExtent l="0" t="0" r="3175" b="1333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存货占比分析的是存货与流动资产的比率。如果存货占比过高，会影响到公司资产的变现能力，进而影响短期偿债能力。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产权比率和资产负债率都反应了公司的权益和负债情况。比率高，意味着负债高，风险大。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息债务/资本总额，反映了公司的偿债能力。无息负债与有息负债对利润的影响是完全不同的，前者不直接减少利润，后者可以通过财务费用减少利润；因此，公司在降低负债率方面，应当重点减少有息负债，而不是无息负债，这对于利润增长或扭亏为盈具有重大意义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短期有息债务比是短期有息债务在总债务中的比率。该比率过高，意味着公司负债机构中，短期债务过多，短期偿债压力大。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偿债能力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3155950"/>
            <wp:effectExtent l="0" t="0" r="4445" b="6350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现金流动负债比率就是在一定会计周期内，企业经营现金净流量和流动负债的比值，反映企业当期偿付短期负债的能力。比率越大，越证明企业能按期偿还到期债务，因为其证明企业生产经营活动产生的现金净流量越多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六、看舆情风险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点击F10页面左侧的“新闻资讯”，左侧可看舆情风险得分变化：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1821815"/>
            <wp:effectExtent l="0" t="0" r="8255" b="6985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勾选舆情的分类项，可以看各类的预期得分。下方可以看具体的舆情文章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309495"/>
            <wp:effectExtent l="0" t="0" r="4445" b="14605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每一类舆情，会有不同的舆情标签，比如资产问题，我们有资产异常、资产减值、资产转让等。这些都在文章标题后面列出。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七：如何做舆情监控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点击预警监控，可以通过“添加预警”，选择要关注的公司，以及关注的舆情类别。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185035"/>
            <wp:effectExtent l="0" t="0" r="10160" b="571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点击“添加预警”后，弹出窗口：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552825" cy="5572125"/>
            <wp:effectExtent l="0" t="0" r="9525" b="952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可以选择要监控的公司、要监控的舆情（可全选）。另外有监控方式可选，主要是微信或者短信提醒。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F697DF"/>
    <w:multiLevelType w:val="singleLevel"/>
    <w:tmpl w:val="CEF697D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E1A524"/>
    <w:multiLevelType w:val="singleLevel"/>
    <w:tmpl w:val="75E1A524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FD049F"/>
    <w:rsid w:val="03DE08E9"/>
    <w:rsid w:val="08EC0A78"/>
    <w:rsid w:val="0B4A6C4F"/>
    <w:rsid w:val="0EFD049F"/>
    <w:rsid w:val="1E613CDF"/>
    <w:rsid w:val="25182BEC"/>
    <w:rsid w:val="26417D6A"/>
    <w:rsid w:val="2EFE58A6"/>
    <w:rsid w:val="33055C18"/>
    <w:rsid w:val="3B4F0AA4"/>
    <w:rsid w:val="498E2F55"/>
    <w:rsid w:val="6AAC7233"/>
    <w:rsid w:val="6F04554D"/>
    <w:rsid w:val="7642027C"/>
    <w:rsid w:val="76A005D1"/>
    <w:rsid w:val="7EC9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838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2019-07-17T02:08:00Z</dcterms:created>
  <dc:creator>野渡无人</dc:creator>
  <cp:lastModifiedBy>野渡无人</cp:lastModifiedBy>
  <dcterms:modified xsi:type="dcterms:W3CDTF">2019-07-30T03:00:37Z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