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微软雅黑"/>
          <w:b/>
          <w:color w:val="084F49"/>
          <w:sz w:val="40"/>
        </w:rPr>
        <w:t>可多华｜2026年6月关注报告</w:t>
      </w:r>
    </w:p>
    <w:p>
      <w:pPr>
        <w:jc w:val="center"/>
      </w:pPr>
      <w:r>
        <w:rPr>
          <w:rFonts w:ascii="Microsoft YaHei" w:hAnsi="Microsoft YaHei" w:eastAsia="微软雅黑"/>
          <w:color w:val="5F6F72"/>
          <w:sz w:val="19"/>
        </w:rPr>
        <w:t>数据范围：2026-06-01 至 2026-06-30｜来源：产品/竞品研究进展 + NKOL 微信/PubMed 明细</w:t>
      </w:r>
    </w:p>
    <w:p>
      <w:pPr>
        <w:pStyle w:val="Heading1"/>
      </w:pPr>
      <w:r>
        <w:t>一、本月概览</w:t>
      </w:r>
    </w:p>
    <w:tbl>
      <w:tblPr>
        <w:tblStyle w:val="TableGrid"/>
        <w:tblW w:type="auto" w:w="0"/>
        <w:jc w:val="center"/>
        <w:tblLook w:firstColumn="1" w:firstRow="1" w:lastColumn="0" w:lastRow="0" w:noHBand="0" w:noVBand="1" w:val="04A0"/>
      </w:tblPr>
      <w:tblGrid>
        <w:gridCol w:w="5184"/>
        <w:gridCol w:w="5184"/>
      </w:tblGrid>
      <w:tr>
        <w:tc>
          <w:tcPr>
            <w:tcW w:type="dxa" w:w="2880"/>
            <w:vAlign w:val="top"/>
            <w:shd w:fill="0F766D"/>
          </w:tcPr>
          <w:p>
            <w:pPr>
              <w:spacing w:after="0"/>
            </w:pPr>
            <w:r/>
            <w:r>
              <w:rPr>
                <w:rFonts w:ascii="Microsoft YaHei" w:hAnsi="Microsoft YaHei" w:eastAsia="微软雅黑"/>
                <w:b/>
                <w:color w:val="FFFFFF"/>
                <w:sz w:val="18"/>
              </w:rPr>
              <w:t>指标</w:t>
            </w:r>
          </w:p>
        </w:tc>
        <w:tc>
          <w:tcPr>
            <w:tcW w:type="dxa" w:w="1728"/>
            <w:vAlign w:val="top"/>
            <w:shd w:fill="0F766D"/>
          </w:tcPr>
          <w:p>
            <w:pPr>
              <w:spacing w:after="0"/>
            </w:pPr>
            <w:r/>
            <w:r>
              <w:rPr>
                <w:rFonts w:ascii="Microsoft YaHei" w:hAnsi="Microsoft YaHei" w:eastAsia="微软雅黑"/>
                <w:b/>
                <w:color w:val="FFFFFF"/>
                <w:sz w:val="18"/>
              </w:rPr>
              <w:t>数量</w:t>
            </w:r>
          </w:p>
        </w:tc>
      </w:tr>
      <w:tr>
        <w:tc>
          <w:tcPr>
            <w:tcW w:type="dxa" w:w="2880"/>
            <w:vAlign w:val="top"/>
          </w:tcPr>
          <w:p>
            <w:pPr>
              <w:spacing w:after="0"/>
            </w:pPr>
            <w:r/>
            <w:r>
              <w:rPr>
                <w:rFonts w:ascii="Microsoft YaHei" w:hAnsi="Microsoft YaHei" w:eastAsia="微软雅黑"/>
                <w:b w:val="0"/>
                <w:sz w:val="18"/>
              </w:rPr>
              <w:t>产品/竞品进展</w:t>
            </w:r>
          </w:p>
        </w:tc>
        <w:tc>
          <w:tcPr>
            <w:tcW w:type="dxa" w:w="1728"/>
            <w:vAlign w:val="top"/>
          </w:tcPr>
          <w:p>
            <w:pPr>
              <w:spacing w:after="0"/>
            </w:pPr>
            <w:r/>
            <w:r>
              <w:rPr>
                <w:rFonts w:ascii="Microsoft YaHei" w:hAnsi="Microsoft YaHei" w:eastAsia="微软雅黑"/>
                <w:b w:val="0"/>
                <w:sz w:val="18"/>
              </w:rPr>
              <w:t>25</w:t>
            </w:r>
          </w:p>
        </w:tc>
      </w:tr>
      <w:tr>
        <w:tc>
          <w:tcPr>
            <w:tcW w:type="dxa" w:w="2880"/>
            <w:vAlign w:val="top"/>
          </w:tcPr>
          <w:p>
            <w:pPr>
              <w:spacing w:after="0"/>
            </w:pPr>
            <w:r/>
            <w:r>
              <w:rPr>
                <w:rFonts w:ascii="Microsoft YaHei" w:hAnsi="Microsoft YaHei" w:eastAsia="微软雅黑"/>
                <w:b w:val="0"/>
                <w:sz w:val="18"/>
              </w:rPr>
              <w:t>建议跟进</w:t>
            </w:r>
          </w:p>
        </w:tc>
        <w:tc>
          <w:tcPr>
            <w:tcW w:type="dxa" w:w="1728"/>
            <w:vAlign w:val="top"/>
          </w:tcPr>
          <w:p>
            <w:pPr>
              <w:spacing w:after="0"/>
            </w:pPr>
            <w:r/>
            <w:r>
              <w:rPr>
                <w:rFonts w:ascii="Microsoft YaHei" w:hAnsi="Microsoft YaHei" w:eastAsia="微软雅黑"/>
                <w:b w:val="0"/>
                <w:sz w:val="18"/>
              </w:rPr>
              <w:t>12</w:t>
            </w:r>
          </w:p>
        </w:tc>
      </w:tr>
      <w:tr>
        <w:tc>
          <w:tcPr>
            <w:tcW w:type="dxa" w:w="2880"/>
            <w:vAlign w:val="top"/>
          </w:tcPr>
          <w:p>
            <w:pPr>
              <w:spacing w:after="0"/>
            </w:pPr>
            <w:r/>
            <w:r>
              <w:rPr>
                <w:rFonts w:ascii="Microsoft YaHei" w:hAnsi="Microsoft YaHei" w:eastAsia="微软雅黑"/>
                <w:b w:val="0"/>
                <w:sz w:val="18"/>
              </w:rPr>
              <w:t>高证据</w:t>
            </w:r>
          </w:p>
        </w:tc>
        <w:tc>
          <w:tcPr>
            <w:tcW w:type="dxa" w:w="1728"/>
            <w:vAlign w:val="top"/>
          </w:tcPr>
          <w:p>
            <w:pPr>
              <w:spacing w:after="0"/>
            </w:pPr>
            <w:r/>
            <w:r>
              <w:rPr>
                <w:rFonts w:ascii="Microsoft YaHei" w:hAnsi="Microsoft YaHei" w:eastAsia="微软雅黑"/>
                <w:b w:val="0"/>
                <w:sz w:val="18"/>
              </w:rPr>
              <w:t>5</w:t>
            </w:r>
          </w:p>
        </w:tc>
      </w:tr>
      <w:tr>
        <w:tc>
          <w:tcPr>
            <w:tcW w:type="dxa" w:w="2880"/>
            <w:vAlign w:val="top"/>
          </w:tcPr>
          <w:p>
            <w:pPr>
              <w:spacing w:after="0"/>
            </w:pPr>
            <w:r/>
            <w:r>
              <w:rPr>
                <w:rFonts w:ascii="Microsoft YaHei" w:hAnsi="Microsoft YaHei" w:eastAsia="微软雅黑"/>
                <w:b w:val="0"/>
                <w:sz w:val="18"/>
              </w:rPr>
              <w:t>KOL/专家记录</w:t>
            </w:r>
          </w:p>
        </w:tc>
        <w:tc>
          <w:tcPr>
            <w:tcW w:type="dxa" w:w="1728"/>
            <w:vAlign w:val="top"/>
          </w:tcPr>
          <w:p>
            <w:pPr>
              <w:spacing w:after="0"/>
            </w:pPr>
            <w:r/>
            <w:r>
              <w:rPr>
                <w:rFonts w:ascii="Microsoft YaHei" w:hAnsi="Microsoft YaHei" w:eastAsia="微软雅黑"/>
                <w:b w:val="0"/>
                <w:sz w:val="18"/>
              </w:rPr>
              <w:t>6</w:t>
            </w:r>
          </w:p>
        </w:tc>
      </w:tr>
      <w:tr>
        <w:tc>
          <w:tcPr>
            <w:tcW w:type="dxa" w:w="2880"/>
            <w:vAlign w:val="top"/>
          </w:tcPr>
          <w:p>
            <w:pPr>
              <w:spacing w:after="0"/>
            </w:pPr>
            <w:r/>
            <w:r>
              <w:rPr>
                <w:rFonts w:ascii="Microsoft YaHei" w:hAnsi="Microsoft YaHei" w:eastAsia="微软雅黑"/>
                <w:b w:val="0"/>
                <w:sz w:val="18"/>
              </w:rPr>
              <w:t>涉及专家</w:t>
            </w:r>
          </w:p>
        </w:tc>
        <w:tc>
          <w:tcPr>
            <w:tcW w:type="dxa" w:w="1728"/>
            <w:vAlign w:val="top"/>
          </w:tcPr>
          <w:p>
            <w:pPr>
              <w:spacing w:after="0"/>
            </w:pPr>
            <w:r/>
            <w:r>
              <w:rPr>
                <w:rFonts w:ascii="Microsoft YaHei" w:hAnsi="Microsoft YaHei" w:eastAsia="微软雅黑"/>
                <w:b w:val="0"/>
                <w:sz w:val="18"/>
              </w:rPr>
              <w:t>4</w:t>
            </w:r>
          </w:p>
        </w:tc>
      </w:tr>
      <w:tr>
        <w:tc>
          <w:tcPr>
            <w:tcW w:type="dxa" w:w="2880"/>
            <w:vAlign w:val="top"/>
          </w:tcPr>
          <w:p>
            <w:pPr>
              <w:spacing w:after="0"/>
            </w:pPr>
            <w:r/>
            <w:r>
              <w:rPr>
                <w:rFonts w:ascii="Microsoft YaHei" w:hAnsi="Microsoft YaHei" w:eastAsia="微软雅黑"/>
                <w:b w:val="0"/>
                <w:sz w:val="18"/>
              </w:rPr>
              <w:t>涉及机构</w:t>
            </w:r>
          </w:p>
        </w:tc>
        <w:tc>
          <w:tcPr>
            <w:tcW w:type="dxa" w:w="1728"/>
            <w:vAlign w:val="top"/>
          </w:tcPr>
          <w:p>
            <w:pPr>
              <w:spacing w:after="0"/>
            </w:pPr>
            <w:r/>
            <w:r>
              <w:rPr>
                <w:rFonts w:ascii="Microsoft YaHei" w:hAnsi="Microsoft YaHei" w:eastAsia="微软雅黑"/>
                <w:b w:val="0"/>
                <w:sz w:val="18"/>
              </w:rPr>
              <w:t>4</w:t>
            </w:r>
          </w:p>
        </w:tc>
      </w:tr>
    </w:tbl>
    <w:p>
      <w:pPr>
        <w:pStyle w:val="Heading1"/>
      </w:pPr>
      <w:r>
        <w:t>二、本月结论</w:t>
      </w:r>
    </w:p>
    <w:p>
      <w:pPr>
        <w:pStyle w:val="ListBullet"/>
      </w:pPr>
      <w:r>
        <w:rPr>
          <w:rFonts w:ascii="Microsoft YaHei" w:hAnsi="Microsoft YaHei" w:eastAsia="微软雅黑"/>
          <w:sz w:val="21"/>
        </w:rPr>
        <w:t>6月共纳入 25 条产品/竞品研究进展，其中 12 条建议跟进，5 条为高证据。</w:t>
      </w:r>
    </w:p>
    <w:p>
      <w:pPr>
        <w:pStyle w:val="ListBullet"/>
      </w:pPr>
      <w:r>
        <w:rPr>
          <w:rFonts w:ascii="Microsoft YaHei" w:hAnsi="Microsoft YaHei" w:eastAsia="微软雅黑"/>
          <w:sz w:val="21"/>
        </w:rPr>
        <w:t>产品进展主要来源于：PubMed 14条；Clinical 11条。</w:t>
      </w:r>
    </w:p>
    <w:p>
      <w:pPr>
        <w:pStyle w:val="ListBullet"/>
      </w:pPr>
      <w:r>
        <w:rPr>
          <w:rFonts w:ascii="Microsoft YaHei" w:hAnsi="Microsoft YaHei" w:eastAsia="微软雅黑"/>
          <w:sz w:val="21"/>
        </w:rPr>
        <w:t>本月关注口径集中在：直接竞品；哈乐/Flomax；直接竞品；脉宁平；机制竞品；保法止/Proscar；机制竞品；安福达/Avodart。</w:t>
      </w:r>
    </w:p>
    <w:p>
      <w:pPr>
        <w:pStyle w:val="ListBullet"/>
      </w:pPr>
      <w:r>
        <w:rPr>
          <w:rFonts w:ascii="Microsoft YaHei" w:hAnsi="Microsoft YaHei" w:eastAsia="微软雅黑"/>
          <w:sz w:val="21"/>
        </w:rPr>
        <w:t>KOL/专家侧共 6 条记录，涉及 4 位专家、4 家机构；来源构成为：PubMed 5条；微信公众号 1条。</w:t>
      </w:r>
    </w:p>
    <w:p>
      <w:pPr>
        <w:pStyle w:val="ListBullet"/>
      </w:pPr>
      <w:r>
        <w:rPr>
          <w:rFonts w:ascii="Microsoft YaHei" w:hAnsi="Microsoft YaHei" w:eastAsia="微软雅黑"/>
          <w:sz w:val="21"/>
        </w:rPr>
        <w:t>涉及分子/靶点高频出现：Doxazosin mesylate / C24H29N5O8S；盐酸坦索罗辛 / tamsulosin hydrochloride / C20H29ClN2O5S；盐酸哌唑嗪 / prazosin hydrochloride / C19H22ClN5O4；非那雄胺 / finasteride / C23H36N2O2；度他雄胺 / dutasteride / C27H30F6N2O2；他达拉非 / tadalafil / C22H19N3O4。</w:t>
      </w:r>
    </w:p>
    <w:p>
      <w:pPr>
        <w:pStyle w:val="Heading1"/>
      </w:pPr>
      <w:r>
        <w:t>三、重点关注事项</w:t>
      </w:r>
    </w:p>
    <w:tbl>
      <w:tblPr>
        <w:tblStyle w:val="TableGrid"/>
        <w:tblW w:type="auto" w:w="0"/>
        <w:jc w:val="center"/>
        <w:tblLook w:firstColumn="1" w:firstRow="1" w:lastColumn="0" w:lastRow="0" w:noHBand="0" w:noVBand="1" w:val="04A0"/>
      </w:tblPr>
      <w:tblGrid>
        <w:gridCol w:w="1481"/>
        <w:gridCol w:w="1481"/>
        <w:gridCol w:w="1481"/>
        <w:gridCol w:w="1481"/>
        <w:gridCol w:w="1481"/>
        <w:gridCol w:w="1481"/>
        <w:gridCol w:w="1481"/>
      </w:tblGrid>
      <w:tr>
        <w:tc>
          <w:tcPr>
            <w:tcW w:type="dxa" w:w="1152"/>
            <w:vAlign w:val="top"/>
            <w:shd w:fill="0F766D"/>
          </w:tcPr>
          <w:p>
            <w:pPr>
              <w:spacing w:after="0"/>
            </w:pPr>
            <w:r/>
            <w:r>
              <w:rPr>
                <w:rFonts w:ascii="Microsoft YaHei" w:hAnsi="Microsoft YaHei" w:eastAsia="微软雅黑"/>
                <w:b/>
                <w:color w:val="FFFFFF"/>
                <w:sz w:val="18"/>
              </w:rPr>
              <w:t>日期</w:t>
            </w:r>
          </w:p>
        </w:tc>
        <w:tc>
          <w:tcPr>
            <w:tcW w:type="dxa" w:w="1080"/>
            <w:vAlign w:val="top"/>
            <w:shd w:fill="0F766D"/>
          </w:tcPr>
          <w:p>
            <w:pPr>
              <w:spacing w:after="0"/>
            </w:pPr>
            <w:r/>
            <w:r>
              <w:rPr>
                <w:rFonts w:ascii="Microsoft YaHei" w:hAnsi="Microsoft YaHei" w:eastAsia="微软雅黑"/>
                <w:b/>
                <w:color w:val="FFFFFF"/>
                <w:sz w:val="18"/>
              </w:rPr>
              <w:t>来源</w:t>
            </w:r>
          </w:p>
        </w:tc>
        <w:tc>
          <w:tcPr>
            <w:tcW w:type="dxa" w:w="1944"/>
            <w:vAlign w:val="top"/>
            <w:shd w:fill="0F766D"/>
          </w:tcPr>
          <w:p>
            <w:pPr>
              <w:spacing w:after="0"/>
            </w:pPr>
            <w:r/>
            <w:r>
              <w:rPr>
                <w:rFonts w:ascii="Microsoft YaHei" w:hAnsi="Microsoft YaHei" w:eastAsia="微软雅黑"/>
                <w:b/>
                <w:color w:val="FFFFFF"/>
                <w:sz w:val="18"/>
              </w:rPr>
              <w:t>产品/竞品口径</w:t>
            </w:r>
          </w:p>
        </w:tc>
        <w:tc>
          <w:tcPr>
            <w:tcW w:type="dxa" w:w="1224"/>
            <w:vAlign w:val="top"/>
            <w:shd w:fill="0F766D"/>
          </w:tcPr>
          <w:p>
            <w:pPr>
              <w:spacing w:after="0"/>
            </w:pPr>
            <w:r/>
            <w:r>
              <w:rPr>
                <w:rFonts w:ascii="Microsoft YaHei" w:hAnsi="Microsoft YaHei" w:eastAsia="微软雅黑"/>
                <w:b/>
                <w:color w:val="FFFFFF"/>
                <w:sz w:val="18"/>
              </w:rPr>
              <w:t>证据/跟进</w:t>
            </w:r>
          </w:p>
        </w:tc>
        <w:tc>
          <w:tcPr>
            <w:tcW w:type="dxa" w:w="2448"/>
            <w:vAlign w:val="top"/>
            <w:shd w:fill="0F766D"/>
          </w:tcPr>
          <w:p>
            <w:pPr>
              <w:spacing w:after="0"/>
            </w:pPr>
            <w:r/>
            <w:r>
              <w:rPr>
                <w:rFonts w:ascii="Microsoft YaHei" w:hAnsi="Microsoft YaHei" w:eastAsia="微软雅黑"/>
                <w:b/>
                <w:color w:val="FFFFFF"/>
                <w:sz w:val="18"/>
              </w:rPr>
              <w:t>标题/事件</w:t>
            </w:r>
          </w:p>
        </w:tc>
        <w:tc>
          <w:tcPr>
            <w:tcW w:type="dxa" w:w="3096"/>
            <w:vAlign w:val="top"/>
            <w:shd w:fill="0F766D"/>
          </w:tcPr>
          <w:p>
            <w:pPr>
              <w:spacing w:after="0"/>
            </w:pPr>
            <w:r/>
            <w:r>
              <w:rPr>
                <w:rFonts w:ascii="Microsoft YaHei" w:hAnsi="Microsoft YaHei" w:eastAsia="微软雅黑"/>
                <w:b/>
                <w:color w:val="FFFFFF"/>
                <w:sz w:val="18"/>
              </w:rPr>
              <w:t>核心内容摘要</w:t>
            </w:r>
          </w:p>
        </w:tc>
        <w:tc>
          <w:tcPr>
            <w:tcW w:type="dxa" w:w="2160"/>
            <w:vAlign w:val="top"/>
            <w:shd w:fill="0F766D"/>
          </w:tcPr>
          <w:p>
            <w:pPr>
              <w:spacing w:after="0"/>
            </w:pPr>
            <w:r/>
            <w:r>
              <w:rPr>
                <w:rFonts w:ascii="Microsoft YaHei" w:hAnsi="Microsoft YaHei" w:eastAsia="微软雅黑"/>
                <w:b/>
                <w:color w:val="FFFFFF"/>
                <w:sz w:val="18"/>
              </w:rPr>
              <w:t>影响判断</w:t>
            </w:r>
          </w:p>
        </w:tc>
      </w:tr>
      <w:tr>
        <w:tc>
          <w:tcPr>
            <w:tcW w:type="dxa" w:w="1152"/>
            <w:vAlign w:val="top"/>
          </w:tcPr>
          <w:p>
            <w:pPr>
              <w:spacing w:after="0"/>
            </w:pPr>
            <w:r/>
            <w:r>
              <w:rPr>
                <w:rFonts w:ascii="Microsoft YaHei" w:hAnsi="Microsoft YaHei" w:eastAsia="微软雅黑"/>
                <w:b w:val="0"/>
                <w:sz w:val="18"/>
              </w:rPr>
              <w:t>2026-06-17</w:t>
            </w:r>
          </w:p>
        </w:tc>
        <w:tc>
          <w:tcPr>
            <w:tcW w:type="dxa" w:w="1080"/>
            <w:vAlign w:val="top"/>
          </w:tcPr>
          <w:p>
            <w:pPr>
              <w:spacing w:after="0"/>
            </w:pPr>
            <w:r/>
            <w:r>
              <w:rPr>
                <w:rFonts w:ascii="Microsoft YaHei" w:hAnsi="Microsoft YaHei" w:eastAsia="微软雅黑"/>
                <w:b w:val="0"/>
                <w:sz w:val="18"/>
              </w:rPr>
              <w:t>Clinical</w:t>
            </w:r>
          </w:p>
        </w:tc>
        <w:tc>
          <w:tcPr>
            <w:tcW w:type="dxa" w:w="1944"/>
            <w:vAlign w:val="top"/>
          </w:tcPr>
          <w:p>
            <w:pPr>
              <w:spacing w:after="0"/>
            </w:pPr>
            <w:r/>
            <w:r>
              <w:rPr>
                <w:rFonts w:ascii="Microsoft YaHei" w:hAnsi="Microsoft YaHei" w:eastAsia="微软雅黑"/>
                <w:b w:val="0"/>
                <w:sz w:val="18"/>
              </w:rPr>
              <w:t>直接竞品；哈乐/Flomax</w:t>
            </w:r>
          </w:p>
        </w:tc>
        <w:tc>
          <w:tcPr>
            <w:tcW w:type="dxa" w:w="1224"/>
            <w:vAlign w:val="top"/>
          </w:tcPr>
          <w:p>
            <w:pPr>
              <w:spacing w:after="0"/>
            </w:pPr>
            <w:r/>
            <w:r>
              <w:rPr>
                <w:rFonts w:ascii="Microsoft YaHei" w:hAnsi="Microsoft YaHei" w:eastAsia="微软雅黑"/>
                <w:b w:val="0"/>
                <w:sz w:val="18"/>
              </w:rPr>
              <w:t>高 / 是</w:t>
            </w:r>
          </w:p>
        </w:tc>
        <w:tc>
          <w:tcPr>
            <w:tcW w:type="dxa" w:w="2448"/>
            <w:vAlign w:val="top"/>
          </w:tcPr>
          <w:p>
            <w:pPr>
              <w:spacing w:after="0"/>
            </w:pPr>
            <w:r/>
            <w:r>
              <w:rPr>
                <w:rFonts w:ascii="Microsoft YaHei" w:hAnsi="Microsoft YaHei" w:eastAsia="微软雅黑"/>
                <w:b w:val="0"/>
                <w:sz w:val="18"/>
              </w:rPr>
              <w:t>盐酸坦索罗辛相关 ClinicalTrials.gov 临床研究更新（NCT07654413）</w:t>
            </w:r>
          </w:p>
        </w:tc>
        <w:tc>
          <w:tcPr>
            <w:tcW w:type="dxa" w:w="3096"/>
            <w:vAlign w:val="top"/>
          </w:tcPr>
          <w:p>
            <w:pPr>
              <w:spacing w:after="0"/>
            </w:pPr>
            <w:r/>
            <w:r>
              <w:rPr>
                <w:rFonts w:ascii="Microsoft YaHei" w:hAnsi="Microsoft YaHei" w:eastAsia="微软雅黑"/>
                <w:b w:val="0"/>
                <w:sz w:val="18"/>
              </w:rPr>
              <w:t>ClinicalTrials.gov 研究：Tamsulosin With or Without Tadalafil for Trial Without Catheter After Acute Urinary Retention Due to Benign Prostatic Hyperplasi（详见网站明细）</w:t>
            </w:r>
          </w:p>
        </w:tc>
        <w:tc>
          <w:tcPr>
            <w:tcW w:type="dxa" w:w="2160"/>
            <w:vAlign w:val="top"/>
          </w:tcPr>
          <w:p>
            <w:pPr>
              <w:spacing w:after="0"/>
            </w:pPr>
            <w:r/>
            <w:r>
              <w:rPr>
                <w:rFonts w:ascii="Microsoft YaHei" w:hAnsi="Microsoft YaHei" w:eastAsia="微软雅黑"/>
                <w:b w:val="0"/>
                <w:sz w:val="18"/>
              </w:rPr>
              <w:t>BPH 一线替代；建议查看研究设计、入排标准和终点，判断对可多华或同机制竞品监测的影响。</w:t>
            </w:r>
          </w:p>
        </w:tc>
      </w:tr>
      <w:tr>
        <w:tc>
          <w:tcPr>
            <w:tcW w:type="dxa" w:w="1152"/>
            <w:vAlign w:val="top"/>
          </w:tcPr>
          <w:p>
            <w:pPr>
              <w:spacing w:after="0"/>
            </w:pPr>
            <w:r/>
            <w:r>
              <w:rPr>
                <w:rFonts w:ascii="Microsoft YaHei" w:hAnsi="Microsoft YaHei" w:eastAsia="微软雅黑"/>
                <w:b w:val="0"/>
                <w:sz w:val="18"/>
              </w:rPr>
              <w:t>2026-06-16</w:t>
            </w:r>
          </w:p>
        </w:tc>
        <w:tc>
          <w:tcPr>
            <w:tcW w:type="dxa" w:w="1080"/>
            <w:vAlign w:val="top"/>
          </w:tcPr>
          <w:p>
            <w:pPr>
              <w:spacing w:after="0"/>
            </w:pPr>
            <w:r/>
            <w:r>
              <w:rPr>
                <w:rFonts w:ascii="Microsoft YaHei" w:hAnsi="Microsoft YaHei" w:eastAsia="微软雅黑"/>
                <w:b w:val="0"/>
                <w:sz w:val="18"/>
              </w:rPr>
              <w:t>Clinical</w:t>
            </w:r>
          </w:p>
        </w:tc>
        <w:tc>
          <w:tcPr>
            <w:tcW w:type="dxa" w:w="1944"/>
            <w:vAlign w:val="top"/>
          </w:tcPr>
          <w:p>
            <w:pPr>
              <w:spacing w:after="0"/>
            </w:pPr>
            <w:r/>
            <w:r>
              <w:rPr>
                <w:rFonts w:ascii="Microsoft YaHei" w:hAnsi="Microsoft YaHei" w:eastAsia="微软雅黑"/>
                <w:b w:val="0"/>
                <w:sz w:val="18"/>
              </w:rPr>
              <w:t>直接竞品；哈乐/Flomax</w:t>
            </w:r>
          </w:p>
        </w:tc>
        <w:tc>
          <w:tcPr>
            <w:tcW w:type="dxa" w:w="1224"/>
            <w:vAlign w:val="top"/>
          </w:tcPr>
          <w:p>
            <w:pPr>
              <w:spacing w:after="0"/>
            </w:pPr>
            <w:r/>
            <w:r>
              <w:rPr>
                <w:rFonts w:ascii="Microsoft YaHei" w:hAnsi="Microsoft YaHei" w:eastAsia="微软雅黑"/>
                <w:b w:val="0"/>
                <w:sz w:val="18"/>
              </w:rPr>
              <w:t>高 / 是</w:t>
            </w:r>
          </w:p>
        </w:tc>
        <w:tc>
          <w:tcPr>
            <w:tcW w:type="dxa" w:w="2448"/>
            <w:vAlign w:val="top"/>
          </w:tcPr>
          <w:p>
            <w:pPr>
              <w:spacing w:after="0"/>
            </w:pPr>
            <w:r/>
            <w:r>
              <w:rPr>
                <w:rFonts w:ascii="Microsoft YaHei" w:hAnsi="Microsoft YaHei" w:eastAsia="微软雅黑"/>
                <w:b w:val="0"/>
                <w:sz w:val="18"/>
              </w:rPr>
              <w:t>盐酸坦索罗辛相关 ClinicalTrials.gov 临床研究更新（NCT07650968）</w:t>
            </w:r>
          </w:p>
        </w:tc>
        <w:tc>
          <w:tcPr>
            <w:tcW w:type="dxa" w:w="3096"/>
            <w:vAlign w:val="top"/>
          </w:tcPr>
          <w:p>
            <w:pPr>
              <w:spacing w:after="0"/>
            </w:pPr>
            <w:r/>
            <w:r>
              <w:rPr>
                <w:rFonts w:ascii="Microsoft YaHei" w:hAnsi="Microsoft YaHei" w:eastAsia="微软雅黑"/>
                <w:b w:val="0"/>
                <w:sz w:val="18"/>
              </w:rPr>
              <w:t>ClinicalTrials.gov 研究：Tamsulosin Dose Escalation or Silodosin Switch Before Trial Without Catheter in BPH-Related Acute Urinary Retention；（详见网站明细）</w:t>
            </w:r>
          </w:p>
        </w:tc>
        <w:tc>
          <w:tcPr>
            <w:tcW w:type="dxa" w:w="2160"/>
            <w:vAlign w:val="top"/>
          </w:tcPr>
          <w:p>
            <w:pPr>
              <w:spacing w:after="0"/>
            </w:pPr>
            <w:r/>
            <w:r>
              <w:rPr>
                <w:rFonts w:ascii="Microsoft YaHei" w:hAnsi="Microsoft YaHei" w:eastAsia="微软雅黑"/>
                <w:b w:val="0"/>
                <w:sz w:val="18"/>
              </w:rPr>
              <w:t>BPH 一线替代；建议查看研究设计、入排标准和终点，判断对可多华或同机制竞品监测的影响。</w:t>
            </w:r>
          </w:p>
        </w:tc>
      </w:tr>
      <w:tr>
        <w:tc>
          <w:tcPr>
            <w:tcW w:type="dxa" w:w="1152"/>
            <w:vAlign w:val="top"/>
          </w:tcPr>
          <w:p>
            <w:pPr>
              <w:spacing w:after="0"/>
            </w:pPr>
            <w:r/>
            <w:r>
              <w:rPr>
                <w:rFonts w:ascii="Microsoft YaHei" w:hAnsi="Microsoft YaHei" w:eastAsia="微软雅黑"/>
                <w:b w:val="0"/>
                <w:sz w:val="18"/>
              </w:rPr>
              <w:t>2026-06-09</w:t>
            </w:r>
          </w:p>
        </w:tc>
        <w:tc>
          <w:tcPr>
            <w:tcW w:type="dxa" w:w="1080"/>
            <w:vAlign w:val="top"/>
          </w:tcPr>
          <w:p>
            <w:pPr>
              <w:spacing w:after="0"/>
            </w:pPr>
            <w:r/>
            <w:r>
              <w:rPr>
                <w:rFonts w:ascii="Microsoft YaHei" w:hAnsi="Microsoft YaHei" w:eastAsia="微软雅黑"/>
                <w:b w:val="0"/>
                <w:sz w:val="18"/>
              </w:rPr>
              <w:t>Clinical</w:t>
            </w:r>
          </w:p>
        </w:tc>
        <w:tc>
          <w:tcPr>
            <w:tcW w:type="dxa" w:w="1944"/>
            <w:vAlign w:val="top"/>
          </w:tcPr>
          <w:p>
            <w:pPr>
              <w:spacing w:after="0"/>
            </w:pPr>
            <w:r/>
            <w:r>
              <w:rPr>
                <w:rFonts w:ascii="Microsoft YaHei" w:hAnsi="Microsoft YaHei" w:eastAsia="微软雅黑"/>
                <w:b w:val="0"/>
                <w:sz w:val="18"/>
              </w:rPr>
              <w:t>机制竞品；希爱力每日剂量</w:t>
            </w:r>
          </w:p>
        </w:tc>
        <w:tc>
          <w:tcPr>
            <w:tcW w:type="dxa" w:w="1224"/>
            <w:vAlign w:val="top"/>
          </w:tcPr>
          <w:p>
            <w:pPr>
              <w:spacing w:after="0"/>
            </w:pPr>
            <w:r/>
            <w:r>
              <w:rPr>
                <w:rFonts w:ascii="Microsoft YaHei" w:hAnsi="Microsoft YaHei" w:eastAsia="微软雅黑"/>
                <w:b w:val="0"/>
                <w:sz w:val="18"/>
              </w:rPr>
              <w:t>高 / 是</w:t>
            </w:r>
          </w:p>
        </w:tc>
        <w:tc>
          <w:tcPr>
            <w:tcW w:type="dxa" w:w="2448"/>
            <w:vAlign w:val="top"/>
          </w:tcPr>
          <w:p>
            <w:pPr>
              <w:spacing w:after="0"/>
            </w:pPr>
            <w:r/>
            <w:r>
              <w:rPr>
                <w:rFonts w:ascii="Microsoft YaHei" w:hAnsi="Microsoft YaHei" w:eastAsia="微软雅黑"/>
                <w:b w:val="0"/>
                <w:sz w:val="18"/>
              </w:rPr>
              <w:t>他达拉非相关 ClinicalTrials.gov 临床研究更新（NCT07636161）</w:t>
            </w:r>
          </w:p>
        </w:tc>
        <w:tc>
          <w:tcPr>
            <w:tcW w:type="dxa" w:w="3096"/>
            <w:vAlign w:val="top"/>
          </w:tcPr>
          <w:p>
            <w:pPr>
              <w:spacing w:after="0"/>
            </w:pPr>
            <w:r/>
            <w:r>
              <w:rPr>
                <w:rFonts w:ascii="Microsoft YaHei" w:hAnsi="Microsoft YaHei" w:eastAsia="微软雅黑"/>
                <w:b w:val="0"/>
                <w:sz w:val="18"/>
              </w:rPr>
              <w:t>ClinicalTrials.gov 研究：PLEASURE (Pleasing Lovers, Efficacy, Arousal, Satisfaction, and Uptake Research on Eroxon)；NCT：NCT07636161；（详见网站明细）</w:t>
            </w:r>
          </w:p>
        </w:tc>
        <w:tc>
          <w:tcPr>
            <w:tcW w:type="dxa" w:w="2160"/>
            <w:vAlign w:val="top"/>
          </w:tcPr>
          <w:p>
            <w:pPr>
              <w:spacing w:after="0"/>
            </w:pPr>
            <w:r/>
            <w:r>
              <w:rPr>
                <w:rFonts w:ascii="Microsoft YaHei" w:hAnsi="Microsoft YaHei" w:eastAsia="微软雅黑"/>
                <w:b w:val="0"/>
                <w:sz w:val="18"/>
              </w:rPr>
              <w:t>BPH/LUTS 适应症替代；建议查看研究设计、入排标准和终点，判断对可多华或同机制竞品监测的影响。</w:t>
            </w:r>
          </w:p>
        </w:tc>
      </w:tr>
      <w:tr>
        <w:tc>
          <w:tcPr>
            <w:tcW w:type="dxa" w:w="1152"/>
            <w:vAlign w:val="top"/>
          </w:tcPr>
          <w:p>
            <w:pPr>
              <w:spacing w:after="0"/>
            </w:pPr>
            <w:r/>
            <w:r>
              <w:rPr>
                <w:rFonts w:ascii="Microsoft YaHei" w:hAnsi="Microsoft YaHei" w:eastAsia="微软雅黑"/>
                <w:b w:val="0"/>
                <w:sz w:val="18"/>
              </w:rPr>
              <w:t>2026-06-08</w:t>
            </w:r>
          </w:p>
        </w:tc>
        <w:tc>
          <w:tcPr>
            <w:tcW w:type="dxa" w:w="1080"/>
            <w:vAlign w:val="top"/>
          </w:tcPr>
          <w:p>
            <w:pPr>
              <w:spacing w:after="0"/>
            </w:pPr>
            <w:r/>
            <w:r>
              <w:rPr>
                <w:rFonts w:ascii="Microsoft YaHei" w:hAnsi="Microsoft YaHei" w:eastAsia="微软雅黑"/>
                <w:b w:val="0"/>
                <w:sz w:val="18"/>
              </w:rPr>
              <w:t>Clinical</w:t>
            </w:r>
          </w:p>
        </w:tc>
        <w:tc>
          <w:tcPr>
            <w:tcW w:type="dxa" w:w="1944"/>
            <w:vAlign w:val="top"/>
          </w:tcPr>
          <w:p>
            <w:pPr>
              <w:spacing w:after="0"/>
            </w:pPr>
            <w:r/>
            <w:r>
              <w:rPr>
                <w:rFonts w:ascii="Microsoft YaHei" w:hAnsi="Microsoft YaHei" w:eastAsia="微软雅黑"/>
                <w:b w:val="0"/>
                <w:sz w:val="18"/>
              </w:rPr>
              <w:t>直接竞品；哈乐/Flomax</w:t>
            </w:r>
          </w:p>
        </w:tc>
        <w:tc>
          <w:tcPr>
            <w:tcW w:type="dxa" w:w="1224"/>
            <w:vAlign w:val="top"/>
          </w:tcPr>
          <w:p>
            <w:pPr>
              <w:spacing w:after="0"/>
            </w:pPr>
            <w:r/>
            <w:r>
              <w:rPr>
                <w:rFonts w:ascii="Microsoft YaHei" w:hAnsi="Microsoft YaHei" w:eastAsia="微软雅黑"/>
                <w:b w:val="0"/>
                <w:sz w:val="18"/>
              </w:rPr>
              <w:t>高 / 是</w:t>
            </w:r>
          </w:p>
        </w:tc>
        <w:tc>
          <w:tcPr>
            <w:tcW w:type="dxa" w:w="2448"/>
            <w:vAlign w:val="top"/>
          </w:tcPr>
          <w:p>
            <w:pPr>
              <w:spacing w:after="0"/>
            </w:pPr>
            <w:r/>
            <w:r>
              <w:rPr>
                <w:rFonts w:ascii="Microsoft YaHei" w:hAnsi="Microsoft YaHei" w:eastAsia="微软雅黑"/>
                <w:b w:val="0"/>
                <w:sz w:val="18"/>
              </w:rPr>
              <w:t>盐酸坦索罗辛相关 ClinicalTrials.gov 临床研究更新（NCT07310797）</w:t>
            </w:r>
          </w:p>
        </w:tc>
        <w:tc>
          <w:tcPr>
            <w:tcW w:type="dxa" w:w="3096"/>
            <w:vAlign w:val="top"/>
          </w:tcPr>
          <w:p>
            <w:pPr>
              <w:spacing w:after="0"/>
            </w:pPr>
            <w:r/>
            <w:r>
              <w:rPr>
                <w:rFonts w:ascii="Microsoft YaHei" w:hAnsi="Microsoft YaHei" w:eastAsia="微软雅黑"/>
                <w:b w:val="0"/>
                <w:sz w:val="18"/>
              </w:rPr>
              <w:t>ClinicalTrials.gov 研究：Comparison of Mirabegron and Tamsulosin for Ureteral Stone Expulsion；NCT：NCT07310797；状态：RECRUITING；阶段：PHASE4；（详见网站明细）</w:t>
            </w:r>
          </w:p>
        </w:tc>
        <w:tc>
          <w:tcPr>
            <w:tcW w:type="dxa" w:w="2160"/>
            <w:vAlign w:val="top"/>
          </w:tcPr>
          <w:p>
            <w:pPr>
              <w:spacing w:after="0"/>
            </w:pPr>
            <w:r/>
            <w:r>
              <w:rPr>
                <w:rFonts w:ascii="Microsoft YaHei" w:hAnsi="Microsoft YaHei" w:eastAsia="微软雅黑"/>
                <w:b w:val="0"/>
                <w:sz w:val="18"/>
              </w:rPr>
              <w:t>BPH 一线替代；建议查看研究设计、入排标准和终点，判断对可多华或同机制竞品监测的影响。</w:t>
            </w:r>
          </w:p>
        </w:tc>
      </w:tr>
      <w:tr>
        <w:tc>
          <w:tcPr>
            <w:tcW w:type="dxa" w:w="1152"/>
            <w:vAlign w:val="top"/>
          </w:tcPr>
          <w:p>
            <w:pPr>
              <w:spacing w:after="0"/>
            </w:pPr>
            <w:r/>
            <w:r>
              <w:rPr>
                <w:rFonts w:ascii="Microsoft YaHei" w:hAnsi="Microsoft YaHei" w:eastAsia="微软雅黑"/>
                <w:b w:val="0"/>
                <w:sz w:val="18"/>
              </w:rPr>
              <w:t>2026-06-01</w:t>
            </w:r>
          </w:p>
        </w:tc>
        <w:tc>
          <w:tcPr>
            <w:tcW w:type="dxa" w:w="1080"/>
            <w:vAlign w:val="top"/>
          </w:tcPr>
          <w:p>
            <w:pPr>
              <w:spacing w:after="0"/>
            </w:pPr>
            <w:r/>
            <w:r>
              <w:rPr>
                <w:rFonts w:ascii="Microsoft YaHei" w:hAnsi="Microsoft YaHei" w:eastAsia="微软雅黑"/>
                <w:b w:val="0"/>
                <w:sz w:val="18"/>
              </w:rPr>
              <w:t>PubMed</w:t>
            </w:r>
          </w:p>
        </w:tc>
        <w:tc>
          <w:tcPr>
            <w:tcW w:type="dxa" w:w="1944"/>
            <w:vAlign w:val="top"/>
          </w:tcPr>
          <w:p>
            <w:pPr>
              <w:spacing w:after="0"/>
            </w:pPr>
            <w:r/>
            <w:r>
              <w:rPr>
                <w:rFonts w:ascii="Microsoft YaHei" w:hAnsi="Microsoft YaHei" w:eastAsia="微软雅黑"/>
                <w:b w:val="0"/>
                <w:sz w:val="18"/>
              </w:rPr>
              <w:t>机制竞品；安福达/Avodart</w:t>
            </w:r>
          </w:p>
        </w:tc>
        <w:tc>
          <w:tcPr>
            <w:tcW w:type="dxa" w:w="1224"/>
            <w:vAlign w:val="top"/>
          </w:tcPr>
          <w:p>
            <w:pPr>
              <w:spacing w:after="0"/>
            </w:pPr>
            <w:r/>
            <w:r>
              <w:rPr>
                <w:rFonts w:ascii="Microsoft YaHei" w:hAnsi="Microsoft YaHei" w:eastAsia="微软雅黑"/>
                <w:b w:val="0"/>
                <w:sz w:val="18"/>
              </w:rPr>
              <w:t>高 / 是</w:t>
            </w:r>
          </w:p>
        </w:tc>
        <w:tc>
          <w:tcPr>
            <w:tcW w:type="dxa" w:w="2448"/>
            <w:vAlign w:val="top"/>
          </w:tcPr>
          <w:p>
            <w:pPr>
              <w:spacing w:after="0"/>
            </w:pPr>
            <w:r/>
            <w:r>
              <w:rPr>
                <w:rFonts w:ascii="Microsoft YaHei" w:hAnsi="Microsoft YaHei" w:eastAsia="微软雅黑"/>
                <w:b w:val="0"/>
                <w:sz w:val="18"/>
              </w:rPr>
              <w:t>度他雄胺相关 PubMed 论文发布（PMID 41821360）</w:t>
            </w:r>
          </w:p>
        </w:tc>
        <w:tc>
          <w:tcPr>
            <w:tcW w:type="dxa" w:w="3096"/>
            <w:vAlign w:val="top"/>
          </w:tcPr>
          <w:p>
            <w:pPr>
              <w:spacing w:after="0"/>
            </w:pPr>
            <w:r/>
            <w:r>
              <w:rPr>
                <w:rFonts w:ascii="Microsoft YaHei" w:hAnsi="Microsoft YaHei" w:eastAsia="微软雅黑"/>
                <w:b w:val="0"/>
                <w:sz w:val="18"/>
              </w:rPr>
              <w:t>临床研究：安福达/Avodart（机制竞品）相关更新，聚焦“临床疗效和安全性”。对可多华的跟踪意义：BPH 长期疾病进展管理。优先阅读原文方法和结论，判断是否形成可引用证据。</w:t>
            </w:r>
          </w:p>
        </w:tc>
        <w:tc>
          <w:tcPr>
            <w:tcW w:type="dxa" w:w="2160"/>
            <w:vAlign w:val="top"/>
          </w:tcPr>
          <w:p>
            <w:pPr>
              <w:spacing w:after="0"/>
            </w:pPr>
            <w:r/>
            <w:r>
              <w:rPr>
                <w:rFonts w:ascii="Microsoft YaHei" w:hAnsi="Microsoft YaHei" w:eastAsia="微软雅黑"/>
                <w:b w:val="0"/>
                <w:sz w:val="18"/>
              </w:rPr>
              <w:t>BPH 长期疾病进展管理；建议评估该更新对可多华相关医学信息、竞品监测或风险沟通的影响。</w:t>
            </w:r>
          </w:p>
        </w:tc>
      </w:tr>
      <w:tr>
        <w:tc>
          <w:tcPr>
            <w:tcW w:type="dxa" w:w="1152"/>
            <w:vAlign w:val="top"/>
          </w:tcPr>
          <w:p>
            <w:pPr>
              <w:spacing w:after="0"/>
            </w:pPr>
            <w:r/>
            <w:r>
              <w:rPr>
                <w:rFonts w:ascii="Microsoft YaHei" w:hAnsi="Microsoft YaHei" w:eastAsia="微软雅黑"/>
                <w:b w:val="0"/>
                <w:sz w:val="18"/>
              </w:rPr>
              <w:t>2026-06-18</w:t>
            </w:r>
          </w:p>
        </w:tc>
        <w:tc>
          <w:tcPr>
            <w:tcW w:type="dxa" w:w="1080"/>
            <w:vAlign w:val="top"/>
          </w:tcPr>
          <w:p>
            <w:pPr>
              <w:spacing w:after="0"/>
            </w:pPr>
            <w:r/>
            <w:r>
              <w:rPr>
                <w:rFonts w:ascii="Microsoft YaHei" w:hAnsi="Microsoft YaHei" w:eastAsia="微软雅黑"/>
                <w:b w:val="0"/>
                <w:sz w:val="18"/>
              </w:rPr>
              <w:t>Clinical</w:t>
            </w:r>
          </w:p>
        </w:tc>
        <w:tc>
          <w:tcPr>
            <w:tcW w:type="dxa" w:w="1944"/>
            <w:vAlign w:val="top"/>
          </w:tcPr>
          <w:p>
            <w:pPr>
              <w:spacing w:after="0"/>
            </w:pPr>
            <w:r/>
            <w:r>
              <w:rPr>
                <w:rFonts w:ascii="Microsoft YaHei" w:hAnsi="Microsoft YaHei" w:eastAsia="微软雅黑"/>
                <w:b w:val="0"/>
                <w:sz w:val="18"/>
              </w:rPr>
              <w:t>机制竞品；希爱力每日剂量</w:t>
            </w:r>
          </w:p>
        </w:tc>
        <w:tc>
          <w:tcPr>
            <w:tcW w:type="dxa" w:w="1224"/>
            <w:vAlign w:val="top"/>
          </w:tcPr>
          <w:p>
            <w:pPr>
              <w:spacing w:after="0"/>
            </w:pPr>
            <w:r/>
            <w:r>
              <w:rPr>
                <w:rFonts w:ascii="Microsoft YaHei" w:hAnsi="Microsoft YaHei" w:eastAsia="微软雅黑"/>
                <w:b w:val="0"/>
                <w:sz w:val="18"/>
              </w:rPr>
              <w:t>中 / 是</w:t>
            </w:r>
          </w:p>
        </w:tc>
        <w:tc>
          <w:tcPr>
            <w:tcW w:type="dxa" w:w="2448"/>
            <w:vAlign w:val="top"/>
          </w:tcPr>
          <w:p>
            <w:pPr>
              <w:spacing w:after="0"/>
            </w:pPr>
            <w:r/>
            <w:r>
              <w:rPr>
                <w:rFonts w:ascii="Microsoft YaHei" w:hAnsi="Microsoft YaHei" w:eastAsia="微软雅黑"/>
                <w:b w:val="0"/>
                <w:sz w:val="18"/>
              </w:rPr>
              <w:t>他达拉非相关 ClinicalTrials.gov 临床研究更新（NCT04684589）</w:t>
            </w:r>
          </w:p>
        </w:tc>
        <w:tc>
          <w:tcPr>
            <w:tcW w:type="dxa" w:w="3096"/>
            <w:vAlign w:val="top"/>
          </w:tcPr>
          <w:p>
            <w:pPr>
              <w:spacing w:after="0"/>
            </w:pPr>
            <w:r/>
            <w:r>
              <w:rPr>
                <w:rFonts w:ascii="Microsoft YaHei" w:hAnsi="Microsoft YaHei" w:eastAsia="微软雅黑"/>
                <w:b w:val="0"/>
                <w:sz w:val="18"/>
              </w:rPr>
              <w:t>ClinicalTrials.gov 研究：Effect of PDE5 Inhibition on Adipose Metabolism in Humans；NCT：NCT04684589；状态：已完成；阶段：PHASE2；适应症/疾病：Obesity；首次发布：2020-12-24；（详见网站明细）</w:t>
            </w:r>
          </w:p>
        </w:tc>
        <w:tc>
          <w:tcPr>
            <w:tcW w:type="dxa" w:w="2160"/>
            <w:vAlign w:val="top"/>
          </w:tcPr>
          <w:p>
            <w:pPr>
              <w:spacing w:after="0"/>
            </w:pPr>
            <w:r/>
            <w:r>
              <w:rPr>
                <w:rFonts w:ascii="Microsoft YaHei" w:hAnsi="Microsoft YaHei" w:eastAsia="微软雅黑"/>
                <w:b w:val="0"/>
                <w:sz w:val="18"/>
              </w:rPr>
              <w:t>BPH/LUTS 适应症替代；建议查看研究设计、入排标准和终点，判断对可多华或同机制竞品监测的影响。</w:t>
            </w:r>
          </w:p>
        </w:tc>
      </w:tr>
      <w:tr>
        <w:tc>
          <w:tcPr>
            <w:tcW w:type="dxa" w:w="1152"/>
            <w:vAlign w:val="top"/>
          </w:tcPr>
          <w:p>
            <w:pPr>
              <w:spacing w:after="0"/>
            </w:pPr>
            <w:r/>
            <w:r>
              <w:rPr>
                <w:rFonts w:ascii="Microsoft YaHei" w:hAnsi="Microsoft YaHei" w:eastAsia="微软雅黑"/>
                <w:b w:val="0"/>
                <w:sz w:val="18"/>
              </w:rPr>
              <w:t>2026-06-15</w:t>
            </w:r>
          </w:p>
        </w:tc>
        <w:tc>
          <w:tcPr>
            <w:tcW w:type="dxa" w:w="1080"/>
            <w:vAlign w:val="top"/>
          </w:tcPr>
          <w:p>
            <w:pPr>
              <w:spacing w:after="0"/>
            </w:pPr>
            <w:r/>
            <w:r>
              <w:rPr>
                <w:rFonts w:ascii="Microsoft YaHei" w:hAnsi="Microsoft YaHei" w:eastAsia="微软雅黑"/>
                <w:b w:val="0"/>
                <w:sz w:val="18"/>
              </w:rPr>
              <w:t>Clinical</w:t>
            </w:r>
          </w:p>
        </w:tc>
        <w:tc>
          <w:tcPr>
            <w:tcW w:type="dxa" w:w="1944"/>
            <w:vAlign w:val="top"/>
          </w:tcPr>
          <w:p>
            <w:pPr>
              <w:spacing w:after="0"/>
            </w:pPr>
            <w:r/>
            <w:r>
              <w:rPr>
                <w:rFonts w:ascii="Microsoft YaHei" w:hAnsi="Microsoft YaHei" w:eastAsia="微软雅黑"/>
                <w:b w:val="0"/>
                <w:sz w:val="18"/>
              </w:rPr>
              <w:t>直接竞品；脉宁平</w:t>
            </w:r>
          </w:p>
        </w:tc>
        <w:tc>
          <w:tcPr>
            <w:tcW w:type="dxa" w:w="1224"/>
            <w:vAlign w:val="top"/>
          </w:tcPr>
          <w:p>
            <w:pPr>
              <w:spacing w:after="0"/>
            </w:pPr>
            <w:r/>
            <w:r>
              <w:rPr>
                <w:rFonts w:ascii="Microsoft YaHei" w:hAnsi="Microsoft YaHei" w:eastAsia="微软雅黑"/>
                <w:b w:val="0"/>
                <w:sz w:val="18"/>
              </w:rPr>
              <w:t>中 / 是</w:t>
            </w:r>
          </w:p>
        </w:tc>
        <w:tc>
          <w:tcPr>
            <w:tcW w:type="dxa" w:w="2448"/>
            <w:vAlign w:val="top"/>
          </w:tcPr>
          <w:p>
            <w:pPr>
              <w:spacing w:after="0"/>
            </w:pPr>
            <w:r/>
            <w:r>
              <w:rPr>
                <w:rFonts w:ascii="Microsoft YaHei" w:hAnsi="Microsoft YaHei" w:eastAsia="微软雅黑"/>
                <w:b w:val="0"/>
                <w:sz w:val="18"/>
              </w:rPr>
              <w:t>盐酸哌唑嗪相关 ClinicalTrials.gov 临床研究更新（NCT00148837）</w:t>
            </w:r>
          </w:p>
        </w:tc>
        <w:tc>
          <w:tcPr>
            <w:tcW w:type="dxa" w:w="3096"/>
            <w:vAlign w:val="top"/>
          </w:tcPr>
          <w:p>
            <w:pPr>
              <w:spacing w:after="0"/>
            </w:pPr>
            <w:r/>
            <w:r>
              <w:rPr>
                <w:rFonts w:ascii="Microsoft YaHei" w:hAnsi="Microsoft YaHei" w:eastAsia="微软雅黑"/>
                <w:b w:val="0"/>
                <w:sz w:val="18"/>
              </w:rPr>
              <w:t>ClinicalTrials.gov 研究：Efficacy of Prazosin Versus Placebo Associated With Peg-interferon Alpha 2b and Ribavirin in Chronic Hepatitis C With Genotype 1（详见网站明细）</w:t>
            </w:r>
          </w:p>
        </w:tc>
        <w:tc>
          <w:tcPr>
            <w:tcW w:type="dxa" w:w="2160"/>
            <w:vAlign w:val="top"/>
          </w:tcPr>
          <w:p>
            <w:pPr>
              <w:spacing w:after="0"/>
            </w:pPr>
            <w:r/>
            <w:r>
              <w:rPr>
                <w:rFonts w:ascii="Microsoft YaHei" w:hAnsi="Microsoft YaHei" w:eastAsia="微软雅黑"/>
                <w:b w:val="0"/>
                <w:sz w:val="18"/>
              </w:rPr>
              <w:t>同机制替代；建议查看研究设计、入排标准和终点，判断对可多华或同机制竞品监测的影响。</w:t>
            </w:r>
          </w:p>
        </w:tc>
      </w:tr>
      <w:tr>
        <w:tc>
          <w:tcPr>
            <w:tcW w:type="dxa" w:w="1152"/>
            <w:vAlign w:val="top"/>
          </w:tcPr>
          <w:p>
            <w:pPr>
              <w:spacing w:after="0"/>
            </w:pPr>
            <w:r/>
            <w:r>
              <w:rPr>
                <w:rFonts w:ascii="Microsoft YaHei" w:hAnsi="Microsoft YaHei" w:eastAsia="微软雅黑"/>
                <w:b w:val="0"/>
                <w:sz w:val="18"/>
              </w:rPr>
              <w:t>2026-06-11</w:t>
            </w:r>
          </w:p>
        </w:tc>
        <w:tc>
          <w:tcPr>
            <w:tcW w:type="dxa" w:w="1080"/>
            <w:vAlign w:val="top"/>
          </w:tcPr>
          <w:p>
            <w:pPr>
              <w:spacing w:after="0"/>
            </w:pPr>
            <w:r/>
            <w:r>
              <w:rPr>
                <w:rFonts w:ascii="Microsoft YaHei" w:hAnsi="Microsoft YaHei" w:eastAsia="微软雅黑"/>
                <w:b w:val="0"/>
                <w:sz w:val="18"/>
              </w:rPr>
              <w:t>Clinical</w:t>
            </w:r>
          </w:p>
        </w:tc>
        <w:tc>
          <w:tcPr>
            <w:tcW w:type="dxa" w:w="1944"/>
            <w:vAlign w:val="top"/>
          </w:tcPr>
          <w:p>
            <w:pPr>
              <w:spacing w:after="0"/>
            </w:pPr>
            <w:r/>
            <w:r>
              <w:rPr>
                <w:rFonts w:ascii="Microsoft YaHei" w:hAnsi="Microsoft YaHei" w:eastAsia="微软雅黑"/>
                <w:b w:val="0"/>
                <w:sz w:val="18"/>
              </w:rPr>
              <w:t>直接竞品；哈乐/Flomax</w:t>
            </w:r>
          </w:p>
        </w:tc>
        <w:tc>
          <w:tcPr>
            <w:tcW w:type="dxa" w:w="1224"/>
            <w:vAlign w:val="top"/>
          </w:tcPr>
          <w:p>
            <w:pPr>
              <w:spacing w:after="0"/>
            </w:pPr>
            <w:r/>
            <w:r>
              <w:rPr>
                <w:rFonts w:ascii="Microsoft YaHei" w:hAnsi="Microsoft YaHei" w:eastAsia="微软雅黑"/>
                <w:b w:val="0"/>
                <w:sz w:val="18"/>
              </w:rPr>
              <w:t>中 / 是</w:t>
            </w:r>
          </w:p>
        </w:tc>
        <w:tc>
          <w:tcPr>
            <w:tcW w:type="dxa" w:w="2448"/>
            <w:vAlign w:val="top"/>
          </w:tcPr>
          <w:p>
            <w:pPr>
              <w:spacing w:after="0"/>
            </w:pPr>
            <w:r/>
            <w:r>
              <w:rPr>
                <w:rFonts w:ascii="Microsoft YaHei" w:hAnsi="Microsoft YaHei" w:eastAsia="微软雅黑"/>
                <w:b w:val="0"/>
                <w:sz w:val="18"/>
              </w:rPr>
              <w:t>盐酸坦索罗辛相关 ClinicalTrials.gov 临床研究更新（NCT03609580）</w:t>
            </w:r>
          </w:p>
        </w:tc>
        <w:tc>
          <w:tcPr>
            <w:tcW w:type="dxa" w:w="3096"/>
            <w:vAlign w:val="top"/>
          </w:tcPr>
          <w:p>
            <w:pPr>
              <w:spacing w:after="0"/>
            </w:pPr>
            <w:r/>
            <w:r>
              <w:rPr>
                <w:rFonts w:ascii="Microsoft YaHei" w:hAnsi="Microsoft YaHei" w:eastAsia="微软雅黑"/>
                <w:b w:val="0"/>
                <w:sz w:val="18"/>
              </w:rPr>
              <w:t>ClinicalTrials.gov 研究：Post-operative Urinary Retention (POUR) Following Thoracic Surgery；NCT：NCT03609580；状态：RECRUITING；阶段：PHASE1；PHASE2；（详见网站明细）</w:t>
            </w:r>
          </w:p>
        </w:tc>
        <w:tc>
          <w:tcPr>
            <w:tcW w:type="dxa" w:w="2160"/>
            <w:vAlign w:val="top"/>
          </w:tcPr>
          <w:p>
            <w:pPr>
              <w:spacing w:after="0"/>
            </w:pPr>
            <w:r/>
            <w:r>
              <w:rPr>
                <w:rFonts w:ascii="Microsoft YaHei" w:hAnsi="Microsoft YaHei" w:eastAsia="微软雅黑"/>
                <w:b w:val="0"/>
                <w:sz w:val="18"/>
              </w:rPr>
              <w:t>BPH 一线替代；建议查看研究设计、入排标准和终点，判断对可多华或同机制竞品监测的影响。</w:t>
            </w:r>
          </w:p>
        </w:tc>
      </w:tr>
      <w:tr>
        <w:tc>
          <w:tcPr>
            <w:tcW w:type="dxa" w:w="1152"/>
            <w:vAlign w:val="top"/>
          </w:tcPr>
          <w:p>
            <w:pPr>
              <w:spacing w:after="0"/>
            </w:pPr>
            <w:r/>
            <w:r>
              <w:rPr>
                <w:rFonts w:ascii="Microsoft YaHei" w:hAnsi="Microsoft YaHei" w:eastAsia="微软雅黑"/>
                <w:b w:val="0"/>
                <w:sz w:val="18"/>
              </w:rPr>
              <w:t>2026-06-08</w:t>
            </w:r>
          </w:p>
        </w:tc>
        <w:tc>
          <w:tcPr>
            <w:tcW w:type="dxa" w:w="1080"/>
            <w:vAlign w:val="top"/>
          </w:tcPr>
          <w:p>
            <w:pPr>
              <w:spacing w:after="0"/>
            </w:pPr>
            <w:r/>
            <w:r>
              <w:rPr>
                <w:rFonts w:ascii="Microsoft YaHei" w:hAnsi="Microsoft YaHei" w:eastAsia="微软雅黑"/>
                <w:b w:val="0"/>
                <w:sz w:val="18"/>
              </w:rPr>
              <w:t>Clinical</w:t>
            </w:r>
          </w:p>
        </w:tc>
        <w:tc>
          <w:tcPr>
            <w:tcW w:type="dxa" w:w="1944"/>
            <w:vAlign w:val="top"/>
          </w:tcPr>
          <w:p>
            <w:pPr>
              <w:spacing w:after="0"/>
            </w:pPr>
            <w:r/>
            <w:r>
              <w:rPr>
                <w:rFonts w:ascii="Microsoft YaHei" w:hAnsi="Microsoft YaHei" w:eastAsia="微软雅黑"/>
                <w:b w:val="0"/>
                <w:sz w:val="18"/>
              </w:rPr>
              <w:t>机制竞品；希爱力每日剂量</w:t>
            </w:r>
          </w:p>
        </w:tc>
        <w:tc>
          <w:tcPr>
            <w:tcW w:type="dxa" w:w="1224"/>
            <w:vAlign w:val="top"/>
          </w:tcPr>
          <w:p>
            <w:pPr>
              <w:spacing w:after="0"/>
            </w:pPr>
            <w:r/>
            <w:r>
              <w:rPr>
                <w:rFonts w:ascii="Microsoft YaHei" w:hAnsi="Microsoft YaHei" w:eastAsia="微软雅黑"/>
                <w:b w:val="0"/>
                <w:sz w:val="18"/>
              </w:rPr>
              <w:t>中 / 是</w:t>
            </w:r>
          </w:p>
        </w:tc>
        <w:tc>
          <w:tcPr>
            <w:tcW w:type="dxa" w:w="2448"/>
            <w:vAlign w:val="top"/>
          </w:tcPr>
          <w:p>
            <w:pPr>
              <w:spacing w:after="0"/>
            </w:pPr>
            <w:r/>
            <w:r>
              <w:rPr>
                <w:rFonts w:ascii="Microsoft YaHei" w:hAnsi="Microsoft YaHei" w:eastAsia="微软雅黑"/>
                <w:b w:val="0"/>
                <w:sz w:val="18"/>
              </w:rPr>
              <w:t>他达拉非相关 ClinicalTrials.gov 临床研究更新（NCT07479901）</w:t>
            </w:r>
          </w:p>
        </w:tc>
        <w:tc>
          <w:tcPr>
            <w:tcW w:type="dxa" w:w="3096"/>
            <w:vAlign w:val="top"/>
          </w:tcPr>
          <w:p>
            <w:pPr>
              <w:spacing w:after="0"/>
            </w:pPr>
            <w:r/>
            <w:r>
              <w:rPr>
                <w:rFonts w:ascii="Microsoft YaHei" w:hAnsi="Microsoft YaHei" w:eastAsia="微软雅黑"/>
                <w:b w:val="0"/>
                <w:sz w:val="18"/>
              </w:rPr>
              <w:t>ClinicalTrials.gov 研究：Investigation of the Effect of the Atherogenic Index on the Therapeutic Response to Tadalafil in Patients With Vascular Erectile（详见网站明细）</w:t>
            </w:r>
          </w:p>
        </w:tc>
        <w:tc>
          <w:tcPr>
            <w:tcW w:type="dxa" w:w="2160"/>
            <w:vAlign w:val="top"/>
          </w:tcPr>
          <w:p>
            <w:pPr>
              <w:spacing w:after="0"/>
            </w:pPr>
            <w:r/>
            <w:r>
              <w:rPr>
                <w:rFonts w:ascii="Microsoft YaHei" w:hAnsi="Microsoft YaHei" w:eastAsia="微软雅黑"/>
                <w:b w:val="0"/>
                <w:sz w:val="18"/>
              </w:rPr>
              <w:t>BPH/LUTS 适应症替代；建议查看研究设计、入排标准和终点，判断对可多华或同机制竞品监测的影响。</w:t>
            </w:r>
          </w:p>
        </w:tc>
      </w:tr>
      <w:tr>
        <w:tc>
          <w:tcPr>
            <w:tcW w:type="dxa" w:w="1152"/>
            <w:vAlign w:val="top"/>
          </w:tcPr>
          <w:p>
            <w:pPr>
              <w:spacing w:after="0"/>
            </w:pPr>
            <w:r/>
            <w:r>
              <w:rPr>
                <w:rFonts w:ascii="Microsoft YaHei" w:hAnsi="Microsoft YaHei" w:eastAsia="微软雅黑"/>
                <w:b w:val="0"/>
                <w:sz w:val="18"/>
              </w:rPr>
              <w:t>2026-06-03</w:t>
            </w:r>
          </w:p>
        </w:tc>
        <w:tc>
          <w:tcPr>
            <w:tcW w:type="dxa" w:w="1080"/>
            <w:vAlign w:val="top"/>
          </w:tcPr>
          <w:p>
            <w:pPr>
              <w:spacing w:after="0"/>
            </w:pPr>
            <w:r/>
            <w:r>
              <w:rPr>
                <w:rFonts w:ascii="Microsoft YaHei" w:hAnsi="Microsoft YaHei" w:eastAsia="微软雅黑"/>
                <w:b w:val="0"/>
                <w:sz w:val="18"/>
              </w:rPr>
              <w:t>Clinical</w:t>
            </w:r>
          </w:p>
        </w:tc>
        <w:tc>
          <w:tcPr>
            <w:tcW w:type="dxa" w:w="1944"/>
            <w:vAlign w:val="top"/>
          </w:tcPr>
          <w:p>
            <w:pPr>
              <w:spacing w:after="0"/>
            </w:pPr>
            <w:r/>
            <w:r>
              <w:rPr>
                <w:rFonts w:ascii="Microsoft YaHei" w:hAnsi="Microsoft YaHei" w:eastAsia="微软雅黑"/>
                <w:b w:val="0"/>
                <w:sz w:val="18"/>
              </w:rPr>
              <w:t>直接竞品；哈乐/Flomax</w:t>
            </w:r>
          </w:p>
        </w:tc>
        <w:tc>
          <w:tcPr>
            <w:tcW w:type="dxa" w:w="1224"/>
            <w:vAlign w:val="top"/>
          </w:tcPr>
          <w:p>
            <w:pPr>
              <w:spacing w:after="0"/>
            </w:pPr>
            <w:r/>
            <w:r>
              <w:rPr>
                <w:rFonts w:ascii="Microsoft YaHei" w:hAnsi="Microsoft YaHei" w:eastAsia="微软雅黑"/>
                <w:b w:val="0"/>
                <w:sz w:val="18"/>
              </w:rPr>
              <w:t>中 / 是</w:t>
            </w:r>
          </w:p>
        </w:tc>
        <w:tc>
          <w:tcPr>
            <w:tcW w:type="dxa" w:w="2448"/>
            <w:vAlign w:val="top"/>
          </w:tcPr>
          <w:p>
            <w:pPr>
              <w:spacing w:after="0"/>
            </w:pPr>
            <w:r/>
            <w:r>
              <w:rPr>
                <w:rFonts w:ascii="Microsoft YaHei" w:hAnsi="Microsoft YaHei" w:eastAsia="微软雅黑"/>
                <w:b w:val="0"/>
                <w:sz w:val="18"/>
              </w:rPr>
              <w:t>盐酸坦索罗辛相关 ClinicalTrials.gov 临床研究更新（NCT07623876）</w:t>
            </w:r>
          </w:p>
        </w:tc>
        <w:tc>
          <w:tcPr>
            <w:tcW w:type="dxa" w:w="3096"/>
            <w:vAlign w:val="top"/>
          </w:tcPr>
          <w:p>
            <w:pPr>
              <w:spacing w:after="0"/>
            </w:pPr>
            <w:r/>
            <w:r>
              <w:rPr>
                <w:rFonts w:ascii="Microsoft YaHei" w:hAnsi="Microsoft YaHei" w:eastAsia="微软雅黑"/>
                <w:b w:val="0"/>
                <w:sz w:val="18"/>
              </w:rPr>
              <w:t>ClinicalTrials.gov 研究：Tamsulosin and Intraureteral Aminophylline for Ureteral Access During RIRS；NCT：NCT07623876；状态：RECRUITING；阶段：PHASE2；（详见网站明细）</w:t>
            </w:r>
          </w:p>
        </w:tc>
        <w:tc>
          <w:tcPr>
            <w:tcW w:type="dxa" w:w="2160"/>
            <w:vAlign w:val="top"/>
          </w:tcPr>
          <w:p>
            <w:pPr>
              <w:spacing w:after="0"/>
            </w:pPr>
            <w:r/>
            <w:r>
              <w:rPr>
                <w:rFonts w:ascii="Microsoft YaHei" w:hAnsi="Microsoft YaHei" w:eastAsia="微软雅黑"/>
                <w:b w:val="0"/>
                <w:sz w:val="18"/>
              </w:rPr>
              <w:t>BPH 一线替代；建议查看研究设计、入排标准和终点，判断对可多华或同机制竞品监测的影响。</w:t>
            </w:r>
          </w:p>
        </w:tc>
      </w:tr>
    </w:tbl>
    <w:p>
      <w:pPr>
        <w:pStyle w:val="Heading1"/>
      </w:pPr>
      <w:r>
        <w:t>四、KOL/专家动态</w:t>
      </w:r>
    </w:p>
    <w:tbl>
      <w:tblPr>
        <w:tblStyle w:val="TableGrid"/>
        <w:tblW w:type="auto" w:w="0"/>
        <w:jc w:val="center"/>
        <w:tblLook w:firstColumn="1" w:firstRow="1" w:lastColumn="0" w:lastRow="0" w:noHBand="0" w:noVBand="1" w:val="04A0"/>
      </w:tblPr>
      <w:tblGrid>
        <w:gridCol w:w="1481"/>
        <w:gridCol w:w="1481"/>
        <w:gridCol w:w="1481"/>
        <w:gridCol w:w="1481"/>
        <w:gridCol w:w="1481"/>
        <w:gridCol w:w="1481"/>
        <w:gridCol w:w="1481"/>
      </w:tblGrid>
      <w:tr>
        <w:tc>
          <w:tcPr>
            <w:tcW w:type="dxa" w:w="1152"/>
            <w:vAlign w:val="top"/>
            <w:shd w:fill="0F766D"/>
          </w:tcPr>
          <w:p>
            <w:pPr>
              <w:spacing w:after="0"/>
            </w:pPr>
            <w:r/>
            <w:r>
              <w:rPr>
                <w:rFonts w:ascii="Microsoft YaHei" w:hAnsi="Microsoft YaHei" w:eastAsia="微软雅黑"/>
                <w:b/>
                <w:color w:val="FFFFFF"/>
                <w:sz w:val="18"/>
              </w:rPr>
              <w:t>日期</w:t>
            </w:r>
          </w:p>
        </w:tc>
        <w:tc>
          <w:tcPr>
            <w:tcW w:type="dxa" w:w="1296"/>
            <w:vAlign w:val="top"/>
            <w:shd w:fill="0F766D"/>
          </w:tcPr>
          <w:p>
            <w:pPr>
              <w:spacing w:after="0"/>
            </w:pPr>
            <w:r/>
            <w:r>
              <w:rPr>
                <w:rFonts w:ascii="Microsoft YaHei" w:hAnsi="Microsoft YaHei" w:eastAsia="微软雅黑"/>
                <w:b/>
                <w:color w:val="FFFFFF"/>
                <w:sz w:val="18"/>
              </w:rPr>
              <w:t>来源</w:t>
            </w:r>
          </w:p>
        </w:tc>
        <w:tc>
          <w:tcPr>
            <w:tcW w:type="dxa" w:w="936"/>
            <w:vAlign w:val="top"/>
            <w:shd w:fill="0F766D"/>
          </w:tcPr>
          <w:p>
            <w:pPr>
              <w:spacing w:after="0"/>
            </w:pPr>
            <w:r/>
            <w:r>
              <w:rPr>
                <w:rFonts w:ascii="Microsoft YaHei" w:hAnsi="Microsoft YaHei" w:eastAsia="微软雅黑"/>
                <w:b/>
                <w:color w:val="FFFFFF"/>
                <w:sz w:val="18"/>
              </w:rPr>
              <w:t>类型</w:t>
            </w:r>
          </w:p>
        </w:tc>
        <w:tc>
          <w:tcPr>
            <w:tcW w:type="dxa" w:w="2160"/>
            <w:vAlign w:val="top"/>
            <w:shd w:fill="0F766D"/>
          </w:tcPr>
          <w:p>
            <w:pPr>
              <w:spacing w:after="0"/>
            </w:pPr>
            <w:r/>
            <w:r>
              <w:rPr>
                <w:rFonts w:ascii="Microsoft YaHei" w:hAnsi="Microsoft YaHei" w:eastAsia="微软雅黑"/>
                <w:b/>
                <w:color w:val="FFFFFF"/>
                <w:sz w:val="18"/>
              </w:rPr>
              <w:t>专家/机构</w:t>
            </w:r>
          </w:p>
        </w:tc>
        <w:tc>
          <w:tcPr>
            <w:tcW w:type="dxa" w:w="2592"/>
            <w:vAlign w:val="top"/>
            <w:shd w:fill="0F766D"/>
          </w:tcPr>
          <w:p>
            <w:pPr>
              <w:spacing w:after="0"/>
            </w:pPr>
            <w:r/>
            <w:r>
              <w:rPr>
                <w:rFonts w:ascii="Microsoft YaHei" w:hAnsi="Microsoft YaHei" w:eastAsia="微软雅黑"/>
                <w:b/>
                <w:color w:val="FFFFFF"/>
                <w:sz w:val="18"/>
              </w:rPr>
              <w:t>标题</w:t>
            </w:r>
          </w:p>
        </w:tc>
        <w:tc>
          <w:tcPr>
            <w:tcW w:type="dxa" w:w="1728"/>
            <w:vAlign w:val="top"/>
            <w:shd w:fill="0F766D"/>
          </w:tcPr>
          <w:p>
            <w:pPr>
              <w:spacing w:after="0"/>
            </w:pPr>
            <w:r/>
            <w:r>
              <w:rPr>
                <w:rFonts w:ascii="Microsoft YaHei" w:hAnsi="Microsoft YaHei" w:eastAsia="微软雅黑"/>
                <w:b/>
                <w:color w:val="FFFFFF"/>
                <w:sz w:val="18"/>
              </w:rPr>
              <w:t>产品信息</w:t>
            </w:r>
          </w:p>
        </w:tc>
        <w:tc>
          <w:tcPr>
            <w:tcW w:type="dxa" w:w="3240"/>
            <w:vAlign w:val="top"/>
            <w:shd w:fill="0F766D"/>
          </w:tcPr>
          <w:p>
            <w:pPr>
              <w:spacing w:after="0"/>
            </w:pPr>
            <w:r/>
            <w:r>
              <w:rPr>
                <w:rFonts w:ascii="Microsoft YaHei" w:hAnsi="Microsoft YaHei" w:eastAsia="微软雅黑"/>
                <w:b/>
                <w:color w:val="FFFFFF"/>
                <w:sz w:val="18"/>
              </w:rPr>
              <w:t>内容概要</w:t>
            </w:r>
          </w:p>
        </w:tc>
      </w:tr>
      <w:tr>
        <w:tc>
          <w:tcPr>
            <w:tcW w:type="dxa" w:w="1152"/>
            <w:vAlign w:val="top"/>
          </w:tcPr>
          <w:p>
            <w:pPr>
              <w:spacing w:after="0"/>
            </w:pPr>
            <w:r/>
            <w:r>
              <w:rPr>
                <w:rFonts w:ascii="Microsoft YaHei" w:hAnsi="Microsoft YaHei" w:eastAsia="微软雅黑"/>
                <w:b w:val="0"/>
                <w:sz w:val="18"/>
              </w:rPr>
              <w:t>2026-06-22</w:t>
            </w:r>
          </w:p>
        </w:tc>
        <w:tc>
          <w:tcPr>
            <w:tcW w:type="dxa" w:w="1296"/>
            <w:vAlign w:val="top"/>
          </w:tcPr>
          <w:p>
            <w:pPr>
              <w:spacing w:after="0"/>
            </w:pPr>
            <w:r/>
            <w:r>
              <w:rPr>
                <w:rFonts w:ascii="Microsoft YaHei" w:hAnsi="Microsoft YaHei" w:eastAsia="微软雅黑"/>
                <w:b w:val="0"/>
                <w:sz w:val="18"/>
              </w:rPr>
              <w:t>微信公众号</w:t>
            </w:r>
          </w:p>
        </w:tc>
        <w:tc>
          <w:tcPr>
            <w:tcW w:type="dxa" w:w="936"/>
            <w:vAlign w:val="top"/>
          </w:tcPr>
          <w:p>
            <w:pPr>
              <w:spacing w:after="0"/>
            </w:pPr>
            <w:r/>
            <w:r>
              <w:rPr>
                <w:rFonts w:ascii="Microsoft YaHei" w:hAnsi="Microsoft YaHei" w:eastAsia="微软雅黑"/>
                <w:b w:val="0"/>
                <w:sz w:val="18"/>
              </w:rPr>
              <w:t>非会议</w:t>
            </w:r>
          </w:p>
        </w:tc>
        <w:tc>
          <w:tcPr>
            <w:tcW w:type="dxa" w:w="2160"/>
            <w:vAlign w:val="top"/>
          </w:tcPr>
          <w:p>
            <w:pPr>
              <w:spacing w:after="0"/>
            </w:pPr>
            <w:r/>
            <w:r>
              <w:rPr>
                <w:rFonts w:ascii="Microsoft YaHei" w:hAnsi="Microsoft YaHei" w:eastAsia="微软雅黑"/>
                <w:b w:val="0"/>
                <w:sz w:val="18"/>
              </w:rPr>
              <w:t>李恭会 / 浙江大学医学院附属邵逸夫医院</w:t>
            </w:r>
          </w:p>
        </w:tc>
        <w:tc>
          <w:tcPr>
            <w:tcW w:type="dxa" w:w="2592"/>
            <w:vAlign w:val="top"/>
          </w:tcPr>
          <w:p>
            <w:pPr>
              <w:spacing w:after="0"/>
            </w:pPr>
            <w:r/>
            <w:r>
              <w:rPr>
                <w:rFonts w:ascii="Microsoft YaHei" w:hAnsi="Microsoft YaHei" w:eastAsia="微软雅黑"/>
                <w:b w:val="0"/>
                <w:sz w:val="18"/>
              </w:rPr>
              <w:t>浙肿诊〔2026〕5号-关于成立浙江省肿瘤诊治质控中心前列腺癌专家委员会的通知</w:t>
            </w:r>
          </w:p>
        </w:tc>
        <w:tc>
          <w:tcPr>
            <w:tcW w:type="dxa" w:w="1728"/>
            <w:vAlign w:val="top"/>
          </w:tcPr>
          <w:p>
            <w:pPr>
              <w:spacing w:after="0"/>
            </w:pPr>
            <w:r/>
            <w:r>
              <w:rPr>
                <w:rFonts w:ascii="Microsoft YaHei" w:hAnsi="Microsoft YaHei" w:eastAsia="微软雅黑"/>
                <w:b w:val="0"/>
                <w:sz w:val="18"/>
              </w:rPr>
            </w:r>
          </w:p>
        </w:tc>
        <w:tc>
          <w:tcPr>
            <w:tcW w:type="dxa" w:w="3240"/>
            <w:vAlign w:val="top"/>
          </w:tcPr>
          <w:p>
            <w:pPr>
              <w:spacing w:after="0"/>
            </w:pPr>
            <w:r/>
            <w:r>
              <w:rPr>
                <w:rFonts w:ascii="Microsoft YaHei" w:hAnsi="Microsoft YaHei" w:eastAsia="微软雅黑"/>
                <w:b w:val="0"/>
                <w:sz w:val="18"/>
              </w:rPr>
              <w:t>专家相关内容：0 1 主任委员 许传亮 浙江省肿瘤医院 副主任委员 0 2 王平 浙江大学医学院附属第一医院 王宗平 浙江省肿瘤医院 江军 浙江大学医学院附属第二医院 祁小龙 浙江省人民医院 李恭会 浙江大学医学院附属邵逸夫医院 陈伟 温州医科大学附属第一医院 蒋军辉 宁波大学附属第一医院 0 3（详见网站明细）</w:t>
            </w:r>
          </w:p>
        </w:tc>
      </w:tr>
      <w:tr>
        <w:tc>
          <w:tcPr>
            <w:tcW w:type="dxa" w:w="1152"/>
            <w:vAlign w:val="top"/>
          </w:tcPr>
          <w:p>
            <w:pPr>
              <w:spacing w:after="0"/>
            </w:pPr>
            <w:r/>
            <w:r>
              <w:rPr>
                <w:rFonts w:ascii="Microsoft YaHei" w:hAnsi="Microsoft YaHei" w:eastAsia="微软雅黑"/>
                <w:b w:val="0"/>
                <w:sz w:val="18"/>
              </w:rPr>
              <w:t>2026-06-15</w:t>
            </w:r>
          </w:p>
        </w:tc>
        <w:tc>
          <w:tcPr>
            <w:tcW w:type="dxa" w:w="1296"/>
            <w:vAlign w:val="top"/>
          </w:tcPr>
          <w:p>
            <w:pPr>
              <w:spacing w:after="0"/>
            </w:pPr>
            <w:r/>
            <w:r>
              <w:rPr>
                <w:rFonts w:ascii="Microsoft YaHei" w:hAnsi="Microsoft YaHei" w:eastAsia="微软雅黑"/>
                <w:b w:val="0"/>
                <w:sz w:val="18"/>
              </w:rPr>
              <w:t>PubMed</w:t>
            </w:r>
          </w:p>
        </w:tc>
        <w:tc>
          <w:tcPr>
            <w:tcW w:type="dxa" w:w="936"/>
            <w:vAlign w:val="top"/>
          </w:tcPr>
          <w:p>
            <w:pPr>
              <w:spacing w:after="0"/>
            </w:pPr>
            <w:r/>
            <w:r>
              <w:rPr>
                <w:rFonts w:ascii="Microsoft YaHei" w:hAnsi="Microsoft YaHei" w:eastAsia="微软雅黑"/>
                <w:b w:val="0"/>
                <w:sz w:val="18"/>
              </w:rPr>
              <w:t>论文</w:t>
            </w:r>
          </w:p>
        </w:tc>
        <w:tc>
          <w:tcPr>
            <w:tcW w:type="dxa" w:w="2160"/>
            <w:vAlign w:val="top"/>
          </w:tcPr>
          <w:p>
            <w:pPr>
              <w:spacing w:after="0"/>
            </w:pPr>
            <w:r/>
            <w:r>
              <w:rPr>
                <w:rFonts w:ascii="Microsoft YaHei" w:hAnsi="Microsoft YaHei" w:eastAsia="微软雅黑"/>
                <w:b w:val="0"/>
                <w:sz w:val="18"/>
              </w:rPr>
              <w:t>李学松 / 北京大学第一医院</w:t>
            </w:r>
          </w:p>
        </w:tc>
        <w:tc>
          <w:tcPr>
            <w:tcW w:type="dxa" w:w="2592"/>
            <w:vAlign w:val="top"/>
          </w:tcPr>
          <w:p>
            <w:pPr>
              <w:spacing w:after="0"/>
            </w:pPr>
            <w:r/>
            <w:r>
              <w:rPr>
                <w:rFonts w:ascii="Microsoft YaHei" w:hAnsi="Microsoft YaHei" w:eastAsia="微软雅黑"/>
                <w:b w:val="0"/>
                <w:sz w:val="18"/>
              </w:rPr>
              <w:t>开放式、腹腔镜式和机器人辅助回肠输尿管置换术治疗长输尿管狭窄的比较：一项多机构双向队列研究。</w:t>
            </w:r>
          </w:p>
        </w:tc>
        <w:tc>
          <w:tcPr>
            <w:tcW w:type="dxa" w:w="1728"/>
            <w:vAlign w:val="top"/>
          </w:tcPr>
          <w:p>
            <w:pPr>
              <w:spacing w:after="0"/>
            </w:pPr>
            <w:r/>
            <w:r>
              <w:rPr>
                <w:rFonts w:ascii="Microsoft YaHei" w:hAnsi="Microsoft YaHei" w:eastAsia="微软雅黑"/>
                <w:b w:val="0"/>
                <w:sz w:val="18"/>
              </w:rPr>
            </w:r>
          </w:p>
        </w:tc>
        <w:tc>
          <w:tcPr>
            <w:tcW w:type="dxa" w:w="3240"/>
            <w:vAlign w:val="top"/>
          </w:tcPr>
          <w:p>
            <w:pPr>
              <w:spacing w:after="0"/>
            </w:pPr>
            <w:r/>
            <w:r>
              <w:rPr>
                <w:rFonts w:ascii="Microsoft YaHei" w:hAnsi="Microsoft YaHei" w:eastAsia="微软雅黑"/>
                <w:b w:val="0"/>
                <w:sz w:val="18"/>
              </w:rPr>
              <w:t>研究主题：开放式、腹腔镜式和机器人辅助回肠输尿管置换术治疗长输尿管狭窄的比较：一项多机构双向队列研究。摘要要点：目的：比较开放式 (O-IUR)、腹腔镜 (L-IUR) 和机器人 (R-IUR) 方法的回肠输尿管置换术 (IUR) 的围手术期和随访结果。（详见网站明细）</w:t>
            </w:r>
          </w:p>
        </w:tc>
      </w:tr>
      <w:tr>
        <w:tc>
          <w:tcPr>
            <w:tcW w:type="dxa" w:w="1152"/>
            <w:vAlign w:val="top"/>
          </w:tcPr>
          <w:p>
            <w:pPr>
              <w:spacing w:after="0"/>
            </w:pPr>
            <w:r/>
            <w:r>
              <w:rPr>
                <w:rFonts w:ascii="Microsoft YaHei" w:hAnsi="Microsoft YaHei" w:eastAsia="微软雅黑"/>
                <w:b w:val="0"/>
                <w:sz w:val="18"/>
              </w:rPr>
              <w:t>2026-06-04</w:t>
            </w:r>
          </w:p>
        </w:tc>
        <w:tc>
          <w:tcPr>
            <w:tcW w:type="dxa" w:w="1296"/>
            <w:vAlign w:val="top"/>
          </w:tcPr>
          <w:p>
            <w:pPr>
              <w:spacing w:after="0"/>
            </w:pPr>
            <w:r/>
            <w:r>
              <w:rPr>
                <w:rFonts w:ascii="Microsoft YaHei" w:hAnsi="Microsoft YaHei" w:eastAsia="微软雅黑"/>
                <w:b w:val="0"/>
                <w:sz w:val="18"/>
              </w:rPr>
              <w:t>PubMed</w:t>
            </w:r>
          </w:p>
        </w:tc>
        <w:tc>
          <w:tcPr>
            <w:tcW w:type="dxa" w:w="936"/>
            <w:vAlign w:val="top"/>
          </w:tcPr>
          <w:p>
            <w:pPr>
              <w:spacing w:after="0"/>
            </w:pPr>
            <w:r/>
            <w:r>
              <w:rPr>
                <w:rFonts w:ascii="Microsoft YaHei" w:hAnsi="Microsoft YaHei" w:eastAsia="微软雅黑"/>
                <w:b w:val="0"/>
                <w:sz w:val="18"/>
              </w:rPr>
              <w:t>论文</w:t>
            </w:r>
          </w:p>
        </w:tc>
        <w:tc>
          <w:tcPr>
            <w:tcW w:type="dxa" w:w="2160"/>
            <w:vAlign w:val="top"/>
          </w:tcPr>
          <w:p>
            <w:pPr>
              <w:spacing w:after="0"/>
            </w:pPr>
            <w:r/>
            <w:r>
              <w:rPr>
                <w:rFonts w:ascii="Microsoft YaHei" w:hAnsi="Microsoft YaHei" w:eastAsia="微软雅黑"/>
                <w:b w:val="0"/>
                <w:sz w:val="18"/>
              </w:rPr>
              <w:t>李学松 / 北京大学第一医院</w:t>
            </w:r>
          </w:p>
        </w:tc>
        <w:tc>
          <w:tcPr>
            <w:tcW w:type="dxa" w:w="2592"/>
            <w:vAlign w:val="top"/>
          </w:tcPr>
          <w:p>
            <w:pPr>
              <w:spacing w:after="0"/>
            </w:pPr>
            <w:r/>
            <w:r>
              <w:rPr>
                <w:rFonts w:ascii="Microsoft YaHei" w:hAnsi="Microsoft YaHei" w:eastAsia="微软雅黑"/>
                <w:b w:val="0"/>
                <w:sz w:val="18"/>
              </w:rPr>
              <w:t>通过肿瘤 LCP1/ADPGK 的免疫组织化学分析预测检查点抑制剂免疫治疗期间泌尿系癌症的免疫相关不良事件。</w:t>
            </w:r>
          </w:p>
        </w:tc>
        <w:tc>
          <w:tcPr>
            <w:tcW w:type="dxa" w:w="1728"/>
            <w:vAlign w:val="top"/>
          </w:tcPr>
          <w:p>
            <w:pPr>
              <w:spacing w:after="0"/>
            </w:pPr>
            <w:r/>
            <w:r>
              <w:rPr>
                <w:rFonts w:ascii="Microsoft YaHei" w:hAnsi="Microsoft YaHei" w:eastAsia="微软雅黑"/>
                <w:b w:val="0"/>
                <w:sz w:val="18"/>
              </w:rPr>
            </w:r>
          </w:p>
        </w:tc>
        <w:tc>
          <w:tcPr>
            <w:tcW w:type="dxa" w:w="3240"/>
            <w:vAlign w:val="top"/>
          </w:tcPr>
          <w:p>
            <w:pPr>
              <w:spacing w:after="0"/>
            </w:pPr>
            <w:r/>
            <w:r>
              <w:rPr>
                <w:rFonts w:ascii="Microsoft YaHei" w:hAnsi="Microsoft YaHei" w:eastAsia="微软雅黑"/>
                <w:b w:val="0"/>
                <w:sz w:val="18"/>
              </w:rPr>
              <w:t>研究主题：通过肿瘤 LCP1/ADPGK 的免疫组织化学分析预测检查点抑制剂免疫治疗期间泌尿系癌症的免疫相关不良事件。摘要要点：免疫检查点抑制剂（ICIs）彻底改变了泌尿系统癌症的治疗。但免疫相关不良事件 (irAE)，尤其是高级别 irAE，是这组患者生存和预后的重要危险因素。（详见网站明细）</w:t>
            </w:r>
          </w:p>
        </w:tc>
      </w:tr>
      <w:tr>
        <w:tc>
          <w:tcPr>
            <w:tcW w:type="dxa" w:w="1152"/>
            <w:vAlign w:val="top"/>
          </w:tcPr>
          <w:p>
            <w:pPr>
              <w:spacing w:after="0"/>
            </w:pPr>
            <w:r/>
            <w:r>
              <w:rPr>
                <w:rFonts w:ascii="Microsoft YaHei" w:hAnsi="Microsoft YaHei" w:eastAsia="微软雅黑"/>
                <w:b w:val="0"/>
                <w:sz w:val="18"/>
              </w:rPr>
              <w:t>2026-06-04</w:t>
            </w:r>
          </w:p>
        </w:tc>
        <w:tc>
          <w:tcPr>
            <w:tcW w:type="dxa" w:w="1296"/>
            <w:vAlign w:val="top"/>
          </w:tcPr>
          <w:p>
            <w:pPr>
              <w:spacing w:after="0"/>
            </w:pPr>
            <w:r/>
            <w:r>
              <w:rPr>
                <w:rFonts w:ascii="Microsoft YaHei" w:hAnsi="Microsoft YaHei" w:eastAsia="微软雅黑"/>
                <w:b w:val="0"/>
                <w:sz w:val="18"/>
              </w:rPr>
              <w:t>PubMed</w:t>
            </w:r>
          </w:p>
        </w:tc>
        <w:tc>
          <w:tcPr>
            <w:tcW w:type="dxa" w:w="936"/>
            <w:vAlign w:val="top"/>
          </w:tcPr>
          <w:p>
            <w:pPr>
              <w:spacing w:after="0"/>
            </w:pPr>
            <w:r/>
            <w:r>
              <w:rPr>
                <w:rFonts w:ascii="Microsoft YaHei" w:hAnsi="Microsoft YaHei" w:eastAsia="微软雅黑"/>
                <w:b w:val="0"/>
                <w:sz w:val="18"/>
              </w:rPr>
              <w:t>论文</w:t>
            </w:r>
          </w:p>
        </w:tc>
        <w:tc>
          <w:tcPr>
            <w:tcW w:type="dxa" w:w="2160"/>
            <w:vAlign w:val="top"/>
          </w:tcPr>
          <w:p>
            <w:pPr>
              <w:spacing w:after="0"/>
            </w:pPr>
            <w:r/>
            <w:r>
              <w:rPr>
                <w:rFonts w:ascii="Microsoft YaHei" w:hAnsi="Microsoft YaHei" w:eastAsia="微软雅黑"/>
                <w:b w:val="0"/>
                <w:sz w:val="18"/>
              </w:rPr>
              <w:t>秦卫军 / 空军军医大学西京医院</w:t>
            </w:r>
          </w:p>
        </w:tc>
        <w:tc>
          <w:tcPr>
            <w:tcW w:type="dxa" w:w="2592"/>
            <w:vAlign w:val="top"/>
          </w:tcPr>
          <w:p>
            <w:pPr>
              <w:spacing w:after="0"/>
            </w:pPr>
            <w:r/>
            <w:r>
              <w:rPr>
                <w:rFonts w:ascii="Microsoft YaHei" w:hAnsi="Microsoft YaHei" w:eastAsia="微软雅黑"/>
                <w:b w:val="0"/>
                <w:sz w:val="18"/>
              </w:rPr>
              <w:t>胆固醇介导的代谢-机械传导串扰协调前列腺癌的去势抵抗。</w:t>
            </w:r>
          </w:p>
        </w:tc>
        <w:tc>
          <w:tcPr>
            <w:tcW w:type="dxa" w:w="1728"/>
            <w:vAlign w:val="top"/>
          </w:tcPr>
          <w:p>
            <w:pPr>
              <w:spacing w:after="0"/>
            </w:pPr>
            <w:r/>
            <w:r>
              <w:rPr>
                <w:rFonts w:ascii="Microsoft YaHei" w:hAnsi="Microsoft YaHei" w:eastAsia="微软雅黑"/>
                <w:b w:val="0"/>
                <w:sz w:val="18"/>
              </w:rPr>
            </w:r>
          </w:p>
        </w:tc>
        <w:tc>
          <w:tcPr>
            <w:tcW w:type="dxa" w:w="3240"/>
            <w:vAlign w:val="top"/>
          </w:tcPr>
          <w:p>
            <w:pPr>
              <w:spacing w:after="0"/>
            </w:pPr>
            <w:r/>
            <w:r>
              <w:rPr>
                <w:rFonts w:ascii="Microsoft YaHei" w:hAnsi="Microsoft YaHei" w:eastAsia="微软雅黑"/>
                <w:b w:val="0"/>
                <w:sz w:val="18"/>
              </w:rPr>
              <w:t>研究主题：胆固醇介导的代谢-机械传导串扰协调前列腺癌的去势抵抗。摘要要点：生物物理微环境加剧了治疗耐药性，但基质硬度对去势抵抗性前列腺癌（CRPC）的影响仍知之甚少。在这项研究中，我们建立了代谢-机械传导串扰，其中胆固醇驱动的基质重编程放大了 CRPC 进展。（详见网站明细）</w:t>
            </w:r>
          </w:p>
        </w:tc>
      </w:tr>
      <w:tr>
        <w:tc>
          <w:tcPr>
            <w:tcW w:type="dxa" w:w="1152"/>
            <w:vAlign w:val="top"/>
          </w:tcPr>
          <w:p>
            <w:pPr>
              <w:spacing w:after="0"/>
            </w:pPr>
            <w:r/>
            <w:r>
              <w:rPr>
                <w:rFonts w:ascii="Microsoft YaHei" w:hAnsi="Microsoft YaHei" w:eastAsia="微软雅黑"/>
                <w:b w:val="0"/>
                <w:sz w:val="18"/>
              </w:rPr>
              <w:t>2026-06-01</w:t>
            </w:r>
          </w:p>
        </w:tc>
        <w:tc>
          <w:tcPr>
            <w:tcW w:type="dxa" w:w="1296"/>
            <w:vAlign w:val="top"/>
          </w:tcPr>
          <w:p>
            <w:pPr>
              <w:spacing w:after="0"/>
            </w:pPr>
            <w:r/>
            <w:r>
              <w:rPr>
                <w:rFonts w:ascii="Microsoft YaHei" w:hAnsi="Microsoft YaHei" w:eastAsia="微软雅黑"/>
                <w:b w:val="0"/>
                <w:sz w:val="18"/>
              </w:rPr>
              <w:t>PubMed</w:t>
            </w:r>
          </w:p>
        </w:tc>
        <w:tc>
          <w:tcPr>
            <w:tcW w:type="dxa" w:w="936"/>
            <w:vAlign w:val="top"/>
          </w:tcPr>
          <w:p>
            <w:pPr>
              <w:spacing w:after="0"/>
            </w:pPr>
            <w:r/>
            <w:r>
              <w:rPr>
                <w:rFonts w:ascii="Microsoft YaHei" w:hAnsi="Microsoft YaHei" w:eastAsia="微软雅黑"/>
                <w:b w:val="0"/>
                <w:sz w:val="18"/>
              </w:rPr>
              <w:t>论文</w:t>
            </w:r>
          </w:p>
        </w:tc>
        <w:tc>
          <w:tcPr>
            <w:tcW w:type="dxa" w:w="2160"/>
            <w:vAlign w:val="top"/>
          </w:tcPr>
          <w:p>
            <w:pPr>
              <w:spacing w:after="0"/>
            </w:pPr>
            <w:r/>
            <w:r>
              <w:rPr>
                <w:rFonts w:ascii="Microsoft YaHei" w:hAnsi="Microsoft YaHei" w:eastAsia="微软雅黑"/>
                <w:b w:val="0"/>
                <w:sz w:val="18"/>
              </w:rPr>
              <w:t>张旭 / 中国人民解放军总医院第一医学中心</w:t>
            </w:r>
          </w:p>
        </w:tc>
        <w:tc>
          <w:tcPr>
            <w:tcW w:type="dxa" w:w="2592"/>
            <w:vAlign w:val="top"/>
          </w:tcPr>
          <w:p>
            <w:pPr>
              <w:spacing w:after="0"/>
            </w:pPr>
            <w:r/>
            <w:r>
              <w:rPr>
                <w:rFonts w:ascii="Microsoft YaHei" w:hAnsi="Microsoft YaHei" w:eastAsia="微软雅黑"/>
                <w:b w:val="0"/>
                <w:sz w:val="18"/>
              </w:rPr>
              <w:t>使用结合 UHR 的机器学习模型预测心力衰竭患者的短期复合结果风险：一项回顾性队列研究。</w:t>
            </w:r>
          </w:p>
        </w:tc>
        <w:tc>
          <w:tcPr>
            <w:tcW w:type="dxa" w:w="1728"/>
            <w:vAlign w:val="top"/>
          </w:tcPr>
          <w:p>
            <w:pPr>
              <w:spacing w:after="0"/>
            </w:pPr>
            <w:r/>
            <w:r>
              <w:rPr>
                <w:rFonts w:ascii="Microsoft YaHei" w:hAnsi="Microsoft YaHei" w:eastAsia="微软雅黑"/>
                <w:b w:val="0"/>
                <w:sz w:val="18"/>
              </w:rPr>
            </w:r>
          </w:p>
        </w:tc>
        <w:tc>
          <w:tcPr>
            <w:tcW w:type="dxa" w:w="3240"/>
            <w:vAlign w:val="top"/>
          </w:tcPr>
          <w:p>
            <w:pPr>
              <w:spacing w:after="0"/>
            </w:pPr>
            <w:r/>
            <w:r>
              <w:rPr>
                <w:rFonts w:ascii="Microsoft YaHei" w:hAnsi="Microsoft YaHei" w:eastAsia="微软雅黑"/>
                <w:b w:val="0"/>
                <w:sz w:val="18"/>
              </w:rPr>
              <w:t>研究主题：使用结合 UHR 的机器学习模型预测心力衰竭患者的短期复合结果风险：一项回顾性队列研究。摘要要点：简介：尿酸与高密度脂蛋白胆固醇比率（UHR）是反映氧化应激和抗氧化失衡的复合生物标志物。（详见网站明细）</w:t>
            </w:r>
          </w:p>
        </w:tc>
      </w:tr>
      <w:tr>
        <w:tc>
          <w:tcPr>
            <w:tcW w:type="dxa" w:w="1152"/>
            <w:vAlign w:val="top"/>
          </w:tcPr>
          <w:p>
            <w:pPr>
              <w:spacing w:after="0"/>
            </w:pPr>
            <w:r/>
            <w:r>
              <w:rPr>
                <w:rFonts w:ascii="Microsoft YaHei" w:hAnsi="Microsoft YaHei" w:eastAsia="微软雅黑"/>
                <w:b w:val="0"/>
                <w:sz w:val="18"/>
              </w:rPr>
              <w:t>2026-06-01</w:t>
            </w:r>
          </w:p>
        </w:tc>
        <w:tc>
          <w:tcPr>
            <w:tcW w:type="dxa" w:w="1296"/>
            <w:vAlign w:val="top"/>
          </w:tcPr>
          <w:p>
            <w:pPr>
              <w:spacing w:after="0"/>
            </w:pPr>
            <w:r/>
            <w:r>
              <w:rPr>
                <w:rFonts w:ascii="Microsoft YaHei" w:hAnsi="Microsoft YaHei" w:eastAsia="微软雅黑"/>
                <w:b w:val="0"/>
                <w:sz w:val="18"/>
              </w:rPr>
              <w:t>PubMed</w:t>
            </w:r>
          </w:p>
        </w:tc>
        <w:tc>
          <w:tcPr>
            <w:tcW w:type="dxa" w:w="936"/>
            <w:vAlign w:val="top"/>
          </w:tcPr>
          <w:p>
            <w:pPr>
              <w:spacing w:after="0"/>
            </w:pPr>
            <w:r/>
            <w:r>
              <w:rPr>
                <w:rFonts w:ascii="Microsoft YaHei" w:hAnsi="Microsoft YaHei" w:eastAsia="微软雅黑"/>
                <w:b w:val="0"/>
                <w:sz w:val="18"/>
              </w:rPr>
              <w:t>论文</w:t>
            </w:r>
          </w:p>
        </w:tc>
        <w:tc>
          <w:tcPr>
            <w:tcW w:type="dxa" w:w="2160"/>
            <w:vAlign w:val="top"/>
          </w:tcPr>
          <w:p>
            <w:pPr>
              <w:spacing w:after="0"/>
            </w:pPr>
            <w:r/>
            <w:r>
              <w:rPr>
                <w:rFonts w:ascii="Microsoft YaHei" w:hAnsi="Microsoft YaHei" w:eastAsia="微软雅黑"/>
                <w:b w:val="0"/>
                <w:sz w:val="18"/>
              </w:rPr>
              <w:t>李学松 / 北京大学第一医院</w:t>
            </w:r>
          </w:p>
        </w:tc>
        <w:tc>
          <w:tcPr>
            <w:tcW w:type="dxa" w:w="2592"/>
            <w:vAlign w:val="top"/>
          </w:tcPr>
          <w:p>
            <w:pPr>
              <w:spacing w:after="0"/>
            </w:pPr>
            <w:r/>
            <w:r>
              <w:rPr>
                <w:rFonts w:ascii="Microsoft YaHei" w:hAnsi="Microsoft YaHei" w:eastAsia="微软雅黑"/>
                <w:b w:val="0"/>
                <w:sz w:val="18"/>
              </w:rPr>
              <w:t>使用 KangDuo-SR-2000 进行机器人辅助根治性前列腺切除术：一项前瞻性、多中心、单臂临床研究。</w:t>
            </w:r>
          </w:p>
        </w:tc>
        <w:tc>
          <w:tcPr>
            <w:tcW w:type="dxa" w:w="1728"/>
            <w:vAlign w:val="top"/>
          </w:tcPr>
          <w:p>
            <w:pPr>
              <w:spacing w:after="0"/>
            </w:pPr>
            <w:r/>
            <w:r>
              <w:rPr>
                <w:rFonts w:ascii="Microsoft YaHei" w:hAnsi="Microsoft YaHei" w:eastAsia="微软雅黑"/>
                <w:b w:val="0"/>
                <w:sz w:val="18"/>
              </w:rPr>
            </w:r>
          </w:p>
        </w:tc>
        <w:tc>
          <w:tcPr>
            <w:tcW w:type="dxa" w:w="3240"/>
            <w:vAlign w:val="top"/>
          </w:tcPr>
          <w:p>
            <w:pPr>
              <w:spacing w:after="0"/>
            </w:pPr>
            <w:r/>
            <w:r>
              <w:rPr>
                <w:rFonts w:ascii="Microsoft YaHei" w:hAnsi="Microsoft YaHei" w:eastAsia="微软雅黑"/>
                <w:b w:val="0"/>
                <w:sz w:val="18"/>
              </w:rPr>
              <w:t>研究主题：使用 KangDuo-SR-2000 进行机器人辅助根治性前列腺切除术：一项前瞻性、多中心、单臂临床研究。摘要要点：背景：本研究旨在评估新开发的 KangDuo-Surgical-Robot-2000 (KD-SR-2000) 在机器人辅助根治性前列腺切除术 (RARP) 中的可行性、安全（详见网站明细）</w:t>
            </w:r>
          </w:p>
        </w:tc>
      </w:tr>
    </w:tbl>
    <w:p>
      <w:pPr>
        <w:pStyle w:val="Heading1"/>
      </w:pPr>
      <w:r>
        <w:t>五、涉及分子/靶点</w:t>
      </w:r>
    </w:p>
    <w:tbl>
      <w:tblPr>
        <w:tblStyle w:val="TableGrid"/>
        <w:tblW w:type="auto" w:w="0"/>
        <w:jc w:val="center"/>
        <w:tblLook w:firstColumn="1" w:firstRow="1" w:lastColumn="0" w:lastRow="0" w:noHBand="0" w:noVBand="1" w:val="04A0"/>
      </w:tblPr>
      <w:tblGrid>
        <w:gridCol w:w="5184"/>
        <w:gridCol w:w="5184"/>
      </w:tblGrid>
      <w:tr>
        <w:tc>
          <w:tcPr>
            <w:tcW w:type="dxa" w:w="7920"/>
            <w:vAlign w:val="top"/>
            <w:shd w:fill="0F766D"/>
          </w:tcPr>
          <w:p>
            <w:pPr>
              <w:spacing w:after="0"/>
            </w:pPr>
            <w:r/>
            <w:r>
              <w:rPr>
                <w:rFonts w:ascii="Microsoft YaHei" w:hAnsi="Microsoft YaHei" w:eastAsia="微软雅黑"/>
                <w:b/>
                <w:color w:val="FFFFFF"/>
                <w:sz w:val="18"/>
              </w:rPr>
              <w:t>分子/靶点/通用名</w:t>
            </w:r>
          </w:p>
        </w:tc>
        <w:tc>
          <w:tcPr>
            <w:tcW w:type="dxa" w:w="1584"/>
            <w:vAlign w:val="top"/>
            <w:shd w:fill="0F766D"/>
          </w:tcPr>
          <w:p>
            <w:pPr>
              <w:spacing w:after="0"/>
            </w:pPr>
            <w:r/>
            <w:r>
              <w:rPr>
                <w:rFonts w:ascii="Microsoft YaHei" w:hAnsi="Microsoft YaHei" w:eastAsia="微软雅黑"/>
                <w:b/>
                <w:color w:val="FFFFFF"/>
                <w:sz w:val="18"/>
              </w:rPr>
              <w:t>出现次数</w:t>
            </w:r>
          </w:p>
        </w:tc>
      </w:tr>
      <w:tr>
        <w:tc>
          <w:tcPr>
            <w:tcW w:type="dxa" w:w="7920"/>
            <w:vAlign w:val="top"/>
          </w:tcPr>
          <w:p>
            <w:pPr>
              <w:spacing w:after="0"/>
            </w:pPr>
            <w:r/>
            <w:r>
              <w:rPr>
                <w:rFonts w:ascii="Microsoft YaHei" w:hAnsi="Microsoft YaHei" w:eastAsia="微软雅黑"/>
                <w:b w:val="0"/>
                <w:sz w:val="18"/>
              </w:rPr>
              <w:t>Doxazosin mesylate / C24H29N5O8S</w:t>
            </w:r>
          </w:p>
        </w:tc>
        <w:tc>
          <w:tcPr>
            <w:tcW w:type="dxa" w:w="1584"/>
            <w:vAlign w:val="top"/>
          </w:tcPr>
          <w:p>
            <w:pPr>
              <w:spacing w:after="0"/>
            </w:pPr>
            <w:r/>
            <w:r>
              <w:rPr>
                <w:rFonts w:ascii="Microsoft YaHei" w:hAnsi="Microsoft YaHei" w:eastAsia="微软雅黑"/>
                <w:b w:val="0"/>
                <w:sz w:val="18"/>
              </w:rPr>
              <w:t>25</w:t>
            </w:r>
          </w:p>
        </w:tc>
      </w:tr>
      <w:tr>
        <w:tc>
          <w:tcPr>
            <w:tcW w:type="dxa" w:w="7920"/>
            <w:vAlign w:val="top"/>
          </w:tcPr>
          <w:p>
            <w:pPr>
              <w:spacing w:after="0"/>
            </w:pPr>
            <w:r/>
            <w:r>
              <w:rPr>
                <w:rFonts w:ascii="Microsoft YaHei" w:hAnsi="Microsoft YaHei" w:eastAsia="微软雅黑"/>
                <w:b w:val="0"/>
                <w:sz w:val="18"/>
              </w:rPr>
              <w:t>盐酸坦索罗辛 / tamsulosin hydrochloride / C20H29ClN2O5S</w:t>
            </w:r>
          </w:p>
        </w:tc>
        <w:tc>
          <w:tcPr>
            <w:tcW w:type="dxa" w:w="1584"/>
            <w:vAlign w:val="top"/>
          </w:tcPr>
          <w:p>
            <w:pPr>
              <w:spacing w:after="0"/>
            </w:pPr>
            <w:r/>
            <w:r>
              <w:rPr>
                <w:rFonts w:ascii="Microsoft YaHei" w:hAnsi="Microsoft YaHei" w:eastAsia="微软雅黑"/>
                <w:b w:val="0"/>
                <w:sz w:val="18"/>
              </w:rPr>
              <w:t>9</w:t>
            </w:r>
          </w:p>
        </w:tc>
      </w:tr>
      <w:tr>
        <w:tc>
          <w:tcPr>
            <w:tcW w:type="dxa" w:w="7920"/>
            <w:vAlign w:val="top"/>
          </w:tcPr>
          <w:p>
            <w:pPr>
              <w:spacing w:after="0"/>
            </w:pPr>
            <w:r/>
            <w:r>
              <w:rPr>
                <w:rFonts w:ascii="Microsoft YaHei" w:hAnsi="Microsoft YaHei" w:eastAsia="微软雅黑"/>
                <w:b w:val="0"/>
                <w:sz w:val="18"/>
              </w:rPr>
              <w:t>盐酸哌唑嗪 / prazosin hydrochloride / C19H22ClN5O4</w:t>
            </w:r>
          </w:p>
        </w:tc>
        <w:tc>
          <w:tcPr>
            <w:tcW w:type="dxa" w:w="1584"/>
            <w:vAlign w:val="top"/>
          </w:tcPr>
          <w:p>
            <w:pPr>
              <w:spacing w:after="0"/>
            </w:pPr>
            <w:r/>
            <w:r>
              <w:rPr>
                <w:rFonts w:ascii="Microsoft YaHei" w:hAnsi="Microsoft YaHei" w:eastAsia="微软雅黑"/>
                <w:b w:val="0"/>
                <w:sz w:val="18"/>
              </w:rPr>
              <w:t>4</w:t>
            </w:r>
          </w:p>
        </w:tc>
      </w:tr>
      <w:tr>
        <w:tc>
          <w:tcPr>
            <w:tcW w:type="dxa" w:w="7920"/>
            <w:vAlign w:val="top"/>
          </w:tcPr>
          <w:p>
            <w:pPr>
              <w:spacing w:after="0"/>
            </w:pPr>
            <w:r/>
            <w:r>
              <w:rPr>
                <w:rFonts w:ascii="Microsoft YaHei" w:hAnsi="Microsoft YaHei" w:eastAsia="微软雅黑"/>
                <w:b w:val="0"/>
                <w:sz w:val="18"/>
              </w:rPr>
              <w:t>非那雄胺 / finasteride / C23H36N2O2</w:t>
            </w:r>
          </w:p>
        </w:tc>
        <w:tc>
          <w:tcPr>
            <w:tcW w:type="dxa" w:w="1584"/>
            <w:vAlign w:val="top"/>
          </w:tcPr>
          <w:p>
            <w:pPr>
              <w:spacing w:after="0"/>
            </w:pPr>
            <w:r/>
            <w:r>
              <w:rPr>
                <w:rFonts w:ascii="Microsoft YaHei" w:hAnsi="Microsoft YaHei" w:eastAsia="微软雅黑"/>
                <w:b w:val="0"/>
                <w:sz w:val="18"/>
              </w:rPr>
              <w:t>3</w:t>
            </w:r>
          </w:p>
        </w:tc>
      </w:tr>
      <w:tr>
        <w:tc>
          <w:tcPr>
            <w:tcW w:type="dxa" w:w="7920"/>
            <w:vAlign w:val="top"/>
          </w:tcPr>
          <w:p>
            <w:pPr>
              <w:spacing w:after="0"/>
            </w:pPr>
            <w:r/>
            <w:r>
              <w:rPr>
                <w:rFonts w:ascii="Microsoft YaHei" w:hAnsi="Microsoft YaHei" w:eastAsia="微软雅黑"/>
                <w:b w:val="0"/>
                <w:sz w:val="18"/>
              </w:rPr>
              <w:t>度他雄胺 / dutasteride / C27H30F6N2O2</w:t>
            </w:r>
          </w:p>
        </w:tc>
        <w:tc>
          <w:tcPr>
            <w:tcW w:type="dxa" w:w="1584"/>
            <w:vAlign w:val="top"/>
          </w:tcPr>
          <w:p>
            <w:pPr>
              <w:spacing w:after="0"/>
            </w:pPr>
            <w:r/>
            <w:r>
              <w:rPr>
                <w:rFonts w:ascii="Microsoft YaHei" w:hAnsi="Microsoft YaHei" w:eastAsia="微软雅黑"/>
                <w:b w:val="0"/>
                <w:sz w:val="18"/>
              </w:rPr>
              <w:t>3</w:t>
            </w:r>
          </w:p>
        </w:tc>
      </w:tr>
      <w:tr>
        <w:tc>
          <w:tcPr>
            <w:tcW w:type="dxa" w:w="7920"/>
            <w:vAlign w:val="top"/>
          </w:tcPr>
          <w:p>
            <w:pPr>
              <w:spacing w:after="0"/>
            </w:pPr>
            <w:r/>
            <w:r>
              <w:rPr>
                <w:rFonts w:ascii="Microsoft YaHei" w:hAnsi="Microsoft YaHei" w:eastAsia="微软雅黑"/>
                <w:b w:val="0"/>
                <w:sz w:val="18"/>
              </w:rPr>
              <w:t>他达拉非 / tadalafil / C22H19N3O4</w:t>
            </w:r>
          </w:p>
        </w:tc>
        <w:tc>
          <w:tcPr>
            <w:tcW w:type="dxa" w:w="1584"/>
            <w:vAlign w:val="top"/>
          </w:tcPr>
          <w:p>
            <w:pPr>
              <w:spacing w:after="0"/>
            </w:pPr>
            <w:r/>
            <w:r>
              <w:rPr>
                <w:rFonts w:ascii="Microsoft YaHei" w:hAnsi="Microsoft YaHei" w:eastAsia="微软雅黑"/>
                <w:b w:val="0"/>
                <w:sz w:val="18"/>
              </w:rPr>
              <w:t>3</w:t>
            </w:r>
          </w:p>
        </w:tc>
      </w:tr>
      <w:tr>
        <w:tc>
          <w:tcPr>
            <w:tcW w:type="dxa" w:w="7920"/>
            <w:vAlign w:val="top"/>
          </w:tcPr>
          <w:p>
            <w:pPr>
              <w:spacing w:after="0"/>
            </w:pPr>
            <w:r/>
            <w:r>
              <w:rPr>
                <w:rFonts w:ascii="Microsoft YaHei" w:hAnsi="Microsoft YaHei" w:eastAsia="微软雅黑"/>
                <w:b w:val="0"/>
                <w:sz w:val="18"/>
              </w:rPr>
              <w:t>甲磺酸多沙唑嗪 / doxazosin mesylate / C24H29N5O8S</w:t>
            </w:r>
          </w:p>
        </w:tc>
        <w:tc>
          <w:tcPr>
            <w:tcW w:type="dxa" w:w="1584"/>
            <w:vAlign w:val="top"/>
          </w:tcPr>
          <w:p>
            <w:pPr>
              <w:spacing w:after="0"/>
            </w:pPr>
            <w:r/>
            <w:r>
              <w:rPr>
                <w:rFonts w:ascii="Microsoft YaHei" w:hAnsi="Microsoft YaHei" w:eastAsia="微软雅黑"/>
                <w:b w:val="0"/>
                <w:sz w:val="18"/>
              </w:rPr>
              <w:t>1</w:t>
            </w:r>
          </w:p>
        </w:tc>
      </w:tr>
      <w:tr>
        <w:tc>
          <w:tcPr>
            <w:tcW w:type="dxa" w:w="7920"/>
            <w:vAlign w:val="top"/>
          </w:tcPr>
          <w:p>
            <w:pPr>
              <w:spacing w:after="0"/>
            </w:pPr>
            <w:r/>
            <w:r>
              <w:rPr>
                <w:rFonts w:ascii="Microsoft YaHei" w:hAnsi="Microsoft YaHei" w:eastAsia="微软雅黑"/>
                <w:b w:val="0"/>
                <w:sz w:val="18"/>
              </w:rPr>
              <w:t>盐酸特拉唑嗪 / terazosin hydrochloride / C19H30ClN5O6</w:t>
            </w:r>
          </w:p>
        </w:tc>
        <w:tc>
          <w:tcPr>
            <w:tcW w:type="dxa" w:w="1584"/>
            <w:vAlign w:val="top"/>
          </w:tcPr>
          <w:p>
            <w:pPr>
              <w:spacing w:after="0"/>
            </w:pPr>
            <w:r/>
            <w:r>
              <w:rPr>
                <w:rFonts w:ascii="Microsoft YaHei" w:hAnsi="Microsoft YaHei" w:eastAsia="微软雅黑"/>
                <w:b w:val="0"/>
                <w:sz w:val="18"/>
              </w:rPr>
              <w:t>1</w:t>
            </w:r>
          </w:p>
        </w:tc>
      </w:tr>
    </w:tbl>
    <w:p>
      <w:pPr>
        <w:pStyle w:val="Heading1"/>
      </w:pPr>
      <w:r>
        <w:t>六、建议跟进</w:t>
      </w:r>
    </w:p>
    <w:p>
      <w:pPr>
        <w:pStyle w:val="ListBullet"/>
      </w:pPr>
      <w:r>
        <w:rPr>
          <w:rFonts w:ascii="Microsoft YaHei" w:hAnsi="Microsoft YaHei" w:eastAsia="微软雅黑"/>
          <w:sz w:val="21"/>
        </w:rPr>
        <w:t>Clinical｜盐酸坦索罗辛相关 ClinicalTrials.gov 临床研究更新（NCT07654413）：建议结合研究设计、入排标准、终点和安全性信息判断对本品医学沟通、竞品监测或风险沟通的影响。</w:t>
      </w:r>
    </w:p>
    <w:p>
      <w:pPr>
        <w:pStyle w:val="ListBullet"/>
      </w:pPr>
      <w:r>
        <w:rPr>
          <w:rFonts w:ascii="Microsoft YaHei" w:hAnsi="Microsoft YaHei" w:eastAsia="微软雅黑"/>
          <w:sz w:val="21"/>
        </w:rPr>
        <w:t>Clinical｜盐酸坦索罗辛相关 ClinicalTrials.gov 临床研究更新（NCT07650968）：建议结合研究设计、入排标准、终点和安全性信息判断对本品医学沟通、竞品监测或风险沟通的影响。</w:t>
      </w:r>
    </w:p>
    <w:p>
      <w:pPr>
        <w:pStyle w:val="ListBullet"/>
      </w:pPr>
      <w:r>
        <w:rPr>
          <w:rFonts w:ascii="Microsoft YaHei" w:hAnsi="Microsoft YaHei" w:eastAsia="微软雅黑"/>
          <w:sz w:val="21"/>
        </w:rPr>
        <w:t>Clinical｜他达拉非相关 ClinicalTrials.gov 临床研究更新（NCT07636161）：建议结合研究设计、入排标准、终点和安全性信息判断对本品医学沟通、竞品监测或风险沟通的影响。</w:t>
      </w:r>
    </w:p>
    <w:p>
      <w:pPr>
        <w:pStyle w:val="ListBullet"/>
      </w:pPr>
      <w:r>
        <w:rPr>
          <w:rFonts w:ascii="Microsoft YaHei" w:hAnsi="Microsoft YaHei" w:eastAsia="微软雅黑"/>
          <w:sz w:val="21"/>
        </w:rPr>
        <w:t>Clinical｜盐酸坦索罗辛相关 ClinicalTrials.gov 临床研究更新（NCT07310797）：建议结合研究设计、入排标准、终点和安全性信息判断对本品医学沟通、竞品监测或风险沟通的影响。</w:t>
      </w:r>
    </w:p>
    <w:p>
      <w:pPr>
        <w:pStyle w:val="ListBullet"/>
      </w:pPr>
      <w:r>
        <w:rPr>
          <w:rFonts w:ascii="Microsoft YaHei" w:hAnsi="Microsoft YaHei" w:eastAsia="微软雅黑"/>
          <w:sz w:val="21"/>
        </w:rPr>
        <w:t>PubMed｜度他雄胺相关 PubMed 论文发布（PMID 41821360）：建议结合研究设计、入排标准、终点和安全性信息判断对本品医学沟通、竞品监测或风险沟通的影响。</w:t>
      </w:r>
    </w:p>
    <w:p>
      <w:pPr>
        <w:pStyle w:val="ListBullet"/>
      </w:pPr>
      <w:r>
        <w:rPr>
          <w:rFonts w:ascii="Microsoft YaHei" w:hAnsi="Microsoft YaHei" w:eastAsia="微软雅黑"/>
          <w:sz w:val="21"/>
        </w:rPr>
        <w:t>专家侧建议优先核对高频专家/机构与产品线的关联，必要时补充会议报道原文和论文全文。</w:t>
      </w:r>
    </w:p>
    <w:sectPr w:rsidR="00FC693F" w:rsidRPr="0006063C" w:rsidSect="00034616">
      <w:pgSz w:w="12240" w:h="15840"/>
      <w:pgMar w:top="1008" w:right="936" w:bottom="1008"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微软雅黑"/>
      <w:b/>
      <w:bCs/>
      <w:color w:val="084F4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微软雅黑"/>
      <w:b/>
      <w:bCs/>
      <w:color w:val="17222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微软雅黑"/>
      <w:b/>
      <w:color w:val="084F4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