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084F49"/>
          <w:sz w:val="40"/>
        </w:rPr>
        <w:t>迪敏思｜2026年6月关注报告</w:t>
      </w:r>
    </w:p>
    <w:p>
      <w:pPr>
        <w:jc w:val="center"/>
      </w:pPr>
      <w:r>
        <w:rPr>
          <w:rFonts w:ascii="Microsoft YaHei" w:hAnsi="Microsoft YaHei" w:eastAsia="微软雅黑"/>
          <w:color w:val="5F6F72"/>
          <w:sz w:val="19"/>
        </w:rPr>
        <w:t>数据范围：2026-06-01 至 2026-06-30｜来源：产品/竞品研究进展 + NKOL 微信/PubMed 明细</w:t>
      </w:r>
    </w:p>
    <w:p>
      <w:pPr>
        <w:pStyle w:val="Heading1"/>
      </w:pPr>
      <w:r>
        <w:t>一、本月概览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产品/竞品进展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建议跟进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43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高证据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23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KOL/专家记录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涉及专家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涉及机构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</w:t>
            </w:r>
          </w:p>
        </w:tc>
      </w:tr>
    </w:tbl>
    <w:p>
      <w:pPr>
        <w:pStyle w:val="Heading1"/>
      </w:pPr>
      <w:r>
        <w:t>二、本月结论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6月共纳入 65 条产品/竞品研究进展，其中 43 条建议跟进，23 条为高证据。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产品进展主要来源于：PubMed 34条；Clinical 25条；万方 6条。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本月关注口径集中在：重症/潜在竞品；Dupixent；同类竞品；Rhinocort；本品/同成分；迪敏思/Dymista；重症/潜在竞品；Xolair。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KOL/专家侧共 11 条记录，涉及 8 位专家、7 家机构；来源构成为：PubMed 9条；微信公众号 2条。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涉及分子/靶点高频出现：Azelastine HCl / C22H25Cl2N3O + Fluticasone propionate / C25H31F3O5S；分子量和糖基化等取决于序列与生产工艺；度普利尤单抗 / dupilumab；布地奈德 / budesonide / C25H34O6；奥马珠单抗 / omalizumab；地氯雷他定 / desloratadine / C19H19ClN2。</w:t>
      </w:r>
    </w:p>
    <w:p>
      <w:pPr>
        <w:pStyle w:val="Heading1"/>
      </w:pPr>
      <w:r>
        <w:t>三、重点关注事项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08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94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产品/竞品口径</w:t>
            </w:r>
          </w:p>
        </w:tc>
        <w:tc>
          <w:tcPr>
            <w:tcW w:type="dxa" w:w="122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证据/跟进</w:t>
            </w:r>
          </w:p>
        </w:tc>
        <w:tc>
          <w:tcPr>
            <w:tcW w:type="dxa" w:w="244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标题/事件</w:t>
            </w:r>
          </w:p>
        </w:tc>
        <w:tc>
          <w:tcPr>
            <w:tcW w:type="dxa" w:w="30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核心内容摘要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影响判断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重症/潜在竞品；Dupixent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度普利尤单抗相关 ClinicalTrials.gov 临床研究更新（NCT04206553）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Evaluate the Efficacy and Safety of Dupilumab in Adult Patients With Bullous Pemphigoid；NCT：NCT04206553；状态：已完成；（详见网站明细）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鼻息肉、过敏炎症相关高阶治疗路径；建议查看研究设计、入排标准和终点，判断对迪敏思或同机制竞品监测的影响。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重症/潜在竞品；Dupixent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度普利尤单抗相关 ClinicalTrials.gov 临床研究更新（NCT07112378）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of Dupilumab in Small Children With an Allergic Condition of the Esophagus (Food Pipe): Eosinophilic Esophagitis；（详见网站明细）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鼻息肉、过敏炎症相关高阶治疗路径；建议查看研究设计、入排标准和终点，判断对迪敏思或同机制竞品监测的影响。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2026-06-17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本品/同成分；迪敏思/Dymista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盐酸氮卓斯汀+丙酸氟替卡松相关 ClinicalTrials.gov 临床研究更新（NCT06052267）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Test if a Fixed-Dose Combination of Fluticasone Propionate/Albuterol Sulfate is Effective in Preventing Asthma Exacer（详见网站明细）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同成分复方与局部抗炎抗过敏竞争；建议查看研究设计、入排标准和终点，判断对迪敏思或同机制竞品监测的影响。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2026-06-17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本品/同成分；迪敏思/Dymista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盐酸氮卓斯汀+丙酸氟替卡松相关 ClinicalTrials.gov 临床研究更新（NCT06664619）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Randomized, Double-Blind, Placebo-Controlled Trial on Efficacy and Safety of Fluticasone Propionate/Albuterol Sulfate Combinat（详见网站明细）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同成分复方与局部抗炎抗过敏竞争；建议查看研究设计、入排标准和终点，判断对迪敏思或同机制竞品监测的影响。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口服竞品；Allegra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盐酸非索非那定相关 ClinicalTrials.gov 临床研究更新（NCT04688788）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研究：Non-inferiority Study of Ocrelizumab and Rituximab in Active Multiple Sclerosis；NCT：NCT04688788；状态：ACTIVE_NOT_RECRUITING；（详见网站明细）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过敏性鼻炎口服替代；建议查看研究设计、入排标准和终点，判断对迪敏思或同机制竞品监测的影响。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2026-06-09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本品/同成分；迪敏思/Dymista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盐酸氮卓斯汀+丙酸氟替卡松相关 ClinicalTrials.gov 临床研究更新（NCT05535738）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研究：Using a Contact Dermatitis Model With Biologic Medications to Study Skin Inflammation；NCT：NCT05535738；状态：ACTIVE_NOT_RECRUITING；（详见网站明细）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同成分复方与局部抗炎抗过敏竞争；建议查看研究设计、入排标准和终点，判断对迪敏思或同机制竞品监测的影响。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2026-06-08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口服竞品；Allegra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盐酸非索非那定相关 ClinicalTrials.gov 临床研究更新（NCT05263206）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研究：Efficacy and Safety of Subcutaneous Dupilumab for the Treatment of Adult Participants With Chronic Pruritus of Unknown Origin (C（详见网站明细）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过敏性鼻炎口服替代；建议查看研究设计、入排标准和终点，判断对迪敏思或同机制竞品监测的影响。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同类竞品；Nasonex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糠酸莫米松相关 ClinicalTrials.gov 临床研究更新（NCT05562466）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Evaluate the Efficacy and Safety of QMF149 (Indacaterol Acetate/Mometasone Furoate) Versus Budesonide in Children Fro（详见网站明细）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鼻炎局部激素替代；建议查看研究设计、入排标准和终点，判断对迪敏思或同机制竞品监测的影响。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重症/潜在竞品；Dupixent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度普利尤单抗相关 ClinicalTrials.gov 临床研究更新（NCT06868212）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Evaluate Efficacy of Remibrutinib Compared to Dupilumab at Early Timepoints in Adults With Chronic Spontaneous Urtica（详见网站明细）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鼻息肉、过敏炎症相关高阶治疗路径；建议查看研究设计、入排标准和终点，判断对迪敏思或同机制竞品监测的影响。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同类竞品；Rhinocort</w:t>
            </w:r>
          </w:p>
        </w:tc>
        <w:tc>
          <w:tcPr>
            <w:tcW w:type="dxa" w:w="122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 / 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布地奈德相关 ClinicalTrials.gov 临床研究更新（NCT07073950）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ClinicalTrials.gov 研究：A Study to Investigate the Effect of Budesonide/Glycopyrronium/Formoterol Fumarate Metered Dose Inhaler (BGF MDI) Compared With（详见网站明细）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鼻炎局部激素替代；建议查看研究设计、入排标准和终点，判断对迪敏思或同机制竞品监测的影响。</w:t>
            </w:r>
          </w:p>
        </w:tc>
      </w:tr>
    </w:tbl>
    <w:p>
      <w:pPr>
        <w:pStyle w:val="Heading1"/>
      </w:pPr>
      <w:r>
        <w:t>四、KOL/专家动态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15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29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936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6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专家/机构</w:t>
            </w:r>
          </w:p>
        </w:tc>
        <w:tc>
          <w:tcPr>
            <w:tcW w:type="dxa" w:w="2592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728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产品信息</w:t>
            </w:r>
          </w:p>
        </w:tc>
        <w:tc>
          <w:tcPr>
            <w:tcW w:type="dxa" w:w="324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内容概要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张罗 / 首都医科大学附属北京同仁医院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Dupilumab 在中国成人慢性鼻窦炎伴鼻息肉患者中的疗效和安全性：一项随机、安慰剂对照、III 期试验。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 / dupilumab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研究主题：Dupilumab 在中国成人慢性鼻窦炎伴鼻息肉患者中的疗效和安全性：一项随机、安慰剂对照、III 期试验。摘要要点：背景：在临床试验和现实世界实践中，Dupilumab 对未受控制的 CRSwNP 患者显示出疗效，但中国患者的数据有限。（详见网站明细）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程雷 / 江苏省人民医院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【标准·指南·共识】雷暴哮喘防控专家共识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全文已读取，但正文中未定位到该专家姓名，需人工复核。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2026-06-22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微信公众号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非会议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支玉香 / 中国医学科学院北京协和医院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【标准·指南·共识】雷暴哮喘防控专家共识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全文已读取，但正文中未定位到该专家姓名，需人工复核。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文卫平 / 中山大学附属第六医院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通过基于 Zr4+ 的纳米酶降解 cfDNA/NETs 来破坏神经免疫串扰：气道炎症性疾病的治疗策略。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研究主题：通过基于 Zr4+ 的纳米酶降解 cfDNA/NETs 来破坏神经免疫串扰：气道炎症性疾病的治疗策略。摘要要点：最近的研究表明，神经免疫相互作用对于气道炎症的发病机制和持续存在至关重要。（详见网站明细）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李健 / 中山大学附属第一医院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通过基于 Zr4+ 的纳米酶降解 cfDNA/NETs 来破坏神经免疫串扰：气道炎症性疾病的治疗策略。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研究主题：通过基于 Zr4+ 的纳米酶降解 cfDNA/NETs 来破坏神经免疫串扰：气道炎症性疾病的治疗策略。摘要要点：最近的研究表明，神经免疫相互作用对于气道炎症的发病机制和持续存在至关重要。（详见网站明细）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2026-06-16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刘争 / 武汉大学中南医院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衰老、遗传易感性和慢性炎症性上呼吸道疾病的风险：前瞻性队列研究的发现。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基于题名判断，文章主题为：衰老、遗传易感性和慢性炎症性上呼吸道疾病的风险：前瞻性队列研究的发现。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张罗 / 首都医科大学附属北京同仁医院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慢性阻塞性肺疾病中会招募具有不同表型的纤维细胞。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慢性阻塞性肺疾病中会招募具有不同表型的纤维细胞。摘要要点：先前的研究表明，慢性阻塞性肺疾病（COPD）患者的循环和气道壁中的纤维细胞增加。然而，尚不清楚纤维细胞是否表达不同的表型。该研究的目的是进一步评估 COPD 患者和小鼠模型中纤维细胞的募集和表型特征。（详见网站明细）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2026-06-10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蒋卫红 / 中南大学湘雅医院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SPRR2A-CSTA 轴驱动 IL-17A 诱导的过敏性鼻炎鳞状上皮化生和类固醇耐药。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研究主题：SPRR2A-CSTA 轴驱动 IL-17A 诱导的过敏性鼻炎鳞状上皮化生和类固醇耐药。摘要要点：背景：上皮重塑，特别是鳞状上皮化生（SM），是难治性变应性鼻炎（AR）中常见但尚未充分研究的上皮改变。其分子驱动因素和对类固醇抵抗的贡献仍不清楚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支玉香 / 中国医学科学院北京协和医院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过敏科嗜酸性肉芽肿性多血管炎的诊断和治疗途径。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过敏科嗜酸性肉芽肿性多血管炎的诊断和治疗途径。摘要要点：嗜酸性肉芽肿性多血管炎（EGPA）是一种罕见的异质性自身免疫性疾病，涉及多个器官和系统，其特征是哮喘、嗜酸性粒细胞增多以及多个器官的肉芽肿或血管炎。大多数最初症状包括鼻炎、鼻窦炎和哮喘。主要咨询科室通常是过敏科、耳鼻喉科和呼吸科。（详见网站明细）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2026-06-01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PubMed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论文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关凯 / 中国医学科学院北京协和医院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用于治疗抽动障碍的可乐定透皮贴剂引起的过敏性接触性皮炎：第一个儿科病例报告和文献综述。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研究主题：用于治疗抽动障碍的可乐定透皮贴剂引起的过敏性接触性皮炎：第一个儿科病例报告和文献综述。摘要要点：背景：最近，可乐定越来越多地用于治疗儿童抽动障碍，而不是治疗成人高血压。透皮贴剂是常见的给药途径。（详见网站明细）</w:t>
            </w:r>
          </w:p>
        </w:tc>
      </w:tr>
    </w:tbl>
    <w:p>
      <w:pPr>
        <w:pStyle w:val="Heading1"/>
      </w:pPr>
      <w:r>
        <w:t>五、涉及分子/靶点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分子/靶点/通用名</w:t>
            </w:r>
          </w:p>
        </w:tc>
        <w:tc>
          <w:tcPr>
            <w:tcW w:type="dxa" w:w="1584"/>
            <w:vAlign w:val="top"/>
            <w:shd w:fill="0F766D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Azelastine HCl / C22H25Cl2N3O + Fluticasone propionate / C25H31F3O5S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65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分子量和糖基化等取决于序列与生产工艺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32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度普利尤单抗 / dupilumab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26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布地奈德 / budesonide / C25H34O6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奥马珠单抗 / omalizumab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地氯雷他定 / desloratadine / C19H19ClN2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盐酸西替利嗪 / cetirizine hydrochloride / C21H27Cl3N2O3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盐酸非索非那定 / fexofenadine hydrochloride / C32H40ClNO4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糠酸莫米松 / mometasone furoate / C27H30Cl2O6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盐酸奥洛他定 / olopatadine hydrochloride / C21H24ClNO3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</w:t>
            </w:r>
          </w:p>
        </w:tc>
      </w:tr>
    </w:tbl>
    <w:p>
      <w:pPr>
        <w:pStyle w:val="Heading1"/>
      </w:pPr>
      <w:r>
        <w:t>六、建议跟进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Clinical｜度普利尤单抗相关 ClinicalTrials.gov 临床研究更新（NCT04206553）：建议结合研究设计、入排标准、终点和安全性信息判断对本品医学沟通、竞品监测或风险沟通的影响。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Clinical｜度普利尤单抗相关 ClinicalTrials.gov 临床研究更新（NCT07112378）：建议结合研究设计、入排标准、终点和安全性信息判断对本品医学沟通、竞品监测或风险沟通的影响。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Clinical｜盐酸氮卓斯汀+丙酸氟替卡松相关 ClinicalTrials.gov 临床研究更新（NCT06052267）：建议结合研究设计、入排标准、终点和安全性信息判断对本品医学沟通、竞品监测或风险沟通的影响。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Clinical｜盐酸氮卓斯汀+丙酸氟替卡松相关 ClinicalTrials.gov 临床研究更新（NCT06664619）：建议结合研究设计、入排标准、终点和安全性信息判断对本品医学沟通、竞品监测或风险沟通的影响。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Clinical｜盐酸非索非那定相关 ClinicalTrials.gov 临床研究更新（NCT04688788）：建议结合研究设计、入排标准、终点和安全性信息判断对本品医学沟通、竞品监测或风险沟通的影响。</w:t>
      </w:r>
    </w:p>
    <w:p>
      <w:pPr>
        <w:pStyle w:val="ListBullet"/>
      </w:pPr>
      <w:r>
        <w:rPr>
          <w:rFonts w:ascii="Microsoft YaHei" w:hAnsi="Microsoft YaHei" w:eastAsia="微软雅黑"/>
          <w:sz w:val="21"/>
        </w:rPr>
        <w:t>专家侧建议优先核对高频专家/机构与产品线的关联，必要时补充会议报道原文和论文全文。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4F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22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84F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