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微软雅黑"/>
          <w:b/>
          <w:color w:val="084F49"/>
          <w:sz w:val="40"/>
        </w:rPr>
        <w:t>立普妥｜2026年6月关注报告</w:t>
      </w:r>
    </w:p>
    <w:p>
      <w:pPr>
        <w:jc w:val="center"/>
      </w:pPr>
      <w:r>
        <w:rPr>
          <w:rFonts w:ascii="Microsoft YaHei" w:hAnsi="Microsoft YaHei" w:eastAsia="微软雅黑"/>
          <w:color w:val="5F6F72"/>
          <w:sz w:val="19"/>
        </w:rPr>
        <w:t>数据范围：2026-06-01 至 2026-06-30｜来源：产品/竞品研究进展 + NKOL 微信/PubMed 明细</w:t>
      </w:r>
    </w:p>
    <w:p>
      <w:pPr>
        <w:pStyle w:val="Heading1"/>
      </w:pPr>
      <w:r>
        <w:t>一、本月概览</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0F766D"/>
          </w:tcPr>
          <w:p>
            <w:pPr>
              <w:spacing w:after="0"/>
            </w:pPr>
            <w:r/>
            <w:r>
              <w:rPr>
                <w:rFonts w:ascii="Microsoft YaHei" w:hAnsi="Microsoft YaHei" w:eastAsia="微软雅黑"/>
                <w:b/>
                <w:color w:val="FFFFFF"/>
                <w:sz w:val="18"/>
              </w:rPr>
              <w:t>指标</w:t>
            </w:r>
          </w:p>
        </w:tc>
        <w:tc>
          <w:tcPr>
            <w:tcW w:type="dxa" w:w="1728"/>
            <w:vAlign w:val="top"/>
            <w:shd w:fill="0F766D"/>
          </w:tcPr>
          <w:p>
            <w:pPr>
              <w:spacing w:after="0"/>
            </w:pPr>
            <w:r/>
            <w:r>
              <w:rPr>
                <w:rFonts w:ascii="Microsoft YaHei" w:hAnsi="Microsoft YaHei" w:eastAsia="微软雅黑"/>
                <w:b/>
                <w:color w:val="FFFFFF"/>
                <w:sz w:val="18"/>
              </w:rPr>
              <w:t>数量</w:t>
            </w:r>
          </w:p>
        </w:tc>
      </w:tr>
      <w:tr>
        <w:tc>
          <w:tcPr>
            <w:tcW w:type="dxa" w:w="2880"/>
            <w:vAlign w:val="top"/>
          </w:tcPr>
          <w:p>
            <w:pPr>
              <w:spacing w:after="0"/>
            </w:pPr>
            <w:r/>
            <w:r>
              <w:rPr>
                <w:rFonts w:ascii="Microsoft YaHei" w:hAnsi="Microsoft YaHei" w:eastAsia="微软雅黑"/>
                <w:b w:val="0"/>
                <w:sz w:val="18"/>
              </w:rPr>
              <w:t>产品/竞品进展</w:t>
            </w:r>
          </w:p>
        </w:tc>
        <w:tc>
          <w:tcPr>
            <w:tcW w:type="dxa" w:w="1728"/>
            <w:vAlign w:val="top"/>
          </w:tcPr>
          <w:p>
            <w:pPr>
              <w:spacing w:after="0"/>
            </w:pPr>
            <w:r/>
            <w:r>
              <w:rPr>
                <w:rFonts w:ascii="Microsoft YaHei" w:hAnsi="Microsoft YaHei" w:eastAsia="微软雅黑"/>
                <w:b w:val="0"/>
                <w:sz w:val="18"/>
              </w:rPr>
              <w:t>79</w:t>
            </w:r>
          </w:p>
        </w:tc>
      </w:tr>
      <w:tr>
        <w:tc>
          <w:tcPr>
            <w:tcW w:type="dxa" w:w="2880"/>
            <w:vAlign w:val="top"/>
          </w:tcPr>
          <w:p>
            <w:pPr>
              <w:spacing w:after="0"/>
            </w:pPr>
            <w:r/>
            <w:r>
              <w:rPr>
                <w:rFonts w:ascii="Microsoft YaHei" w:hAnsi="Microsoft YaHei" w:eastAsia="微软雅黑"/>
                <w:b w:val="0"/>
                <w:sz w:val="18"/>
              </w:rPr>
              <w:t>建议跟进</w:t>
            </w:r>
          </w:p>
        </w:tc>
        <w:tc>
          <w:tcPr>
            <w:tcW w:type="dxa" w:w="1728"/>
            <w:vAlign w:val="top"/>
          </w:tcPr>
          <w:p>
            <w:pPr>
              <w:spacing w:after="0"/>
            </w:pPr>
            <w:r/>
            <w:r>
              <w:rPr>
                <w:rFonts w:ascii="Microsoft YaHei" w:hAnsi="Microsoft YaHei" w:eastAsia="微软雅黑"/>
                <w:b w:val="0"/>
                <w:sz w:val="18"/>
              </w:rPr>
              <w:t>38</w:t>
            </w:r>
          </w:p>
        </w:tc>
      </w:tr>
      <w:tr>
        <w:tc>
          <w:tcPr>
            <w:tcW w:type="dxa" w:w="2880"/>
            <w:vAlign w:val="top"/>
          </w:tcPr>
          <w:p>
            <w:pPr>
              <w:spacing w:after="0"/>
            </w:pPr>
            <w:r/>
            <w:r>
              <w:rPr>
                <w:rFonts w:ascii="Microsoft YaHei" w:hAnsi="Microsoft YaHei" w:eastAsia="微软雅黑"/>
                <w:b w:val="0"/>
                <w:sz w:val="18"/>
              </w:rPr>
              <w:t>高证据</w:t>
            </w:r>
          </w:p>
        </w:tc>
        <w:tc>
          <w:tcPr>
            <w:tcW w:type="dxa" w:w="1728"/>
            <w:vAlign w:val="top"/>
          </w:tcPr>
          <w:p>
            <w:pPr>
              <w:spacing w:after="0"/>
            </w:pPr>
            <w:r/>
            <w:r>
              <w:rPr>
                <w:rFonts w:ascii="Microsoft YaHei" w:hAnsi="Microsoft YaHei" w:eastAsia="微软雅黑"/>
                <w:b w:val="0"/>
                <w:sz w:val="18"/>
              </w:rPr>
              <w:t>18</w:t>
            </w:r>
          </w:p>
        </w:tc>
      </w:tr>
      <w:tr>
        <w:tc>
          <w:tcPr>
            <w:tcW w:type="dxa" w:w="2880"/>
            <w:vAlign w:val="top"/>
          </w:tcPr>
          <w:p>
            <w:pPr>
              <w:spacing w:after="0"/>
            </w:pPr>
            <w:r/>
            <w:r>
              <w:rPr>
                <w:rFonts w:ascii="Microsoft YaHei" w:hAnsi="Microsoft YaHei" w:eastAsia="微软雅黑"/>
                <w:b w:val="0"/>
                <w:sz w:val="18"/>
              </w:rPr>
              <w:t>KOL/专家记录</w:t>
            </w:r>
          </w:p>
        </w:tc>
        <w:tc>
          <w:tcPr>
            <w:tcW w:type="dxa" w:w="1728"/>
            <w:vAlign w:val="top"/>
          </w:tcPr>
          <w:p>
            <w:pPr>
              <w:spacing w:after="0"/>
            </w:pPr>
            <w:r/>
            <w:r>
              <w:rPr>
                <w:rFonts w:ascii="Microsoft YaHei" w:hAnsi="Microsoft YaHei" w:eastAsia="微软雅黑"/>
                <w:b w:val="0"/>
                <w:sz w:val="18"/>
              </w:rPr>
              <w:t>39</w:t>
            </w:r>
          </w:p>
        </w:tc>
      </w:tr>
      <w:tr>
        <w:tc>
          <w:tcPr>
            <w:tcW w:type="dxa" w:w="2880"/>
            <w:vAlign w:val="top"/>
          </w:tcPr>
          <w:p>
            <w:pPr>
              <w:spacing w:after="0"/>
            </w:pPr>
            <w:r/>
            <w:r>
              <w:rPr>
                <w:rFonts w:ascii="Microsoft YaHei" w:hAnsi="Microsoft YaHei" w:eastAsia="微软雅黑"/>
                <w:b w:val="0"/>
                <w:sz w:val="18"/>
              </w:rPr>
              <w:t>涉及专家</w:t>
            </w:r>
          </w:p>
        </w:tc>
        <w:tc>
          <w:tcPr>
            <w:tcW w:type="dxa" w:w="1728"/>
            <w:vAlign w:val="top"/>
          </w:tcPr>
          <w:p>
            <w:pPr>
              <w:spacing w:after="0"/>
            </w:pPr>
            <w:r/>
            <w:r>
              <w:rPr>
                <w:rFonts w:ascii="Microsoft YaHei" w:hAnsi="Microsoft YaHei" w:eastAsia="微软雅黑"/>
                <w:b w:val="0"/>
                <w:sz w:val="18"/>
              </w:rPr>
              <w:t>24</w:t>
            </w:r>
          </w:p>
        </w:tc>
      </w:tr>
      <w:tr>
        <w:tc>
          <w:tcPr>
            <w:tcW w:type="dxa" w:w="2880"/>
            <w:vAlign w:val="top"/>
          </w:tcPr>
          <w:p>
            <w:pPr>
              <w:spacing w:after="0"/>
            </w:pPr>
            <w:r/>
            <w:r>
              <w:rPr>
                <w:rFonts w:ascii="Microsoft YaHei" w:hAnsi="Microsoft YaHei" w:eastAsia="微软雅黑"/>
                <w:b w:val="0"/>
                <w:sz w:val="18"/>
              </w:rPr>
              <w:t>涉及机构</w:t>
            </w:r>
          </w:p>
        </w:tc>
        <w:tc>
          <w:tcPr>
            <w:tcW w:type="dxa" w:w="1728"/>
            <w:vAlign w:val="top"/>
          </w:tcPr>
          <w:p>
            <w:pPr>
              <w:spacing w:after="0"/>
            </w:pPr>
            <w:r/>
            <w:r>
              <w:rPr>
                <w:rFonts w:ascii="Microsoft YaHei" w:hAnsi="Microsoft YaHei" w:eastAsia="微软雅黑"/>
                <w:b w:val="0"/>
                <w:sz w:val="18"/>
              </w:rPr>
              <w:t>17</w:t>
            </w:r>
          </w:p>
        </w:tc>
      </w:tr>
    </w:tbl>
    <w:p>
      <w:pPr>
        <w:pStyle w:val="Heading1"/>
      </w:pPr>
      <w:r>
        <w:t>二、本月结论</w:t>
      </w:r>
    </w:p>
    <w:p>
      <w:pPr>
        <w:pStyle w:val="ListBullet"/>
      </w:pPr>
      <w:r>
        <w:rPr>
          <w:rFonts w:ascii="Microsoft YaHei" w:hAnsi="Microsoft YaHei" w:eastAsia="微软雅黑"/>
          <w:sz w:val="21"/>
        </w:rPr>
        <w:t>6月共纳入 79 条产品/竞品研究进展，其中 38 条建议跟进，18 条为高证据。</w:t>
      </w:r>
    </w:p>
    <w:p>
      <w:pPr>
        <w:pStyle w:val="ListBullet"/>
      </w:pPr>
      <w:r>
        <w:rPr>
          <w:rFonts w:ascii="Microsoft YaHei" w:hAnsi="Microsoft YaHei" w:eastAsia="微软雅黑"/>
          <w:sz w:val="21"/>
        </w:rPr>
        <w:t>产品进展主要来源于：PubMed 46条；Clinical 29条；万方 4条。</w:t>
      </w:r>
    </w:p>
    <w:p>
      <w:pPr>
        <w:pStyle w:val="ListBullet"/>
      </w:pPr>
      <w:r>
        <w:rPr>
          <w:rFonts w:ascii="Microsoft YaHei" w:hAnsi="Microsoft YaHei" w:eastAsia="微软雅黑"/>
          <w:sz w:val="21"/>
        </w:rPr>
        <w:t>本月关注口径集中在：直接竞品；可定/Crestor；本品/同成分；立普妥及阿托伐他汀仿制药；机制/联合竞品；益适纯/Zetia/Ezetrol；立普妥。</w:t>
      </w:r>
    </w:p>
    <w:p>
      <w:pPr>
        <w:pStyle w:val="ListBullet"/>
      </w:pPr>
      <w:r>
        <w:rPr>
          <w:rFonts w:ascii="Microsoft YaHei" w:hAnsi="Microsoft YaHei" w:eastAsia="微软雅黑"/>
          <w:sz w:val="21"/>
        </w:rPr>
        <w:t>KOL/专家侧共 39 条记录，涉及 24 位专家、17 家机构；来源构成为：PubMed 34条；微信公众号 5条。</w:t>
      </w:r>
    </w:p>
    <w:p>
      <w:pPr>
        <w:pStyle w:val="ListBullet"/>
      </w:pPr>
      <w:r>
        <w:rPr>
          <w:rFonts w:ascii="Microsoft YaHei" w:hAnsi="Microsoft YaHei" w:eastAsia="微软雅黑"/>
          <w:sz w:val="21"/>
        </w:rPr>
        <w:t>涉及分子/靶点高频出现：Atorvastatin calcium / C66H68CaF2N4O10；瑞舒伐他汀钙 / rosuvastatin calcium / C44H54CaF2N6O12S2；阿托伐他汀钙 / atorvastatin calcium / C66H68CaF2N4O10；分子量和糖基化等取决于序列与生产工艺；修饰和盐型确认分子式；依折麦布 / ezetimibe / C24H21F2NO3。</w:t>
      </w:r>
    </w:p>
    <w:p>
      <w:pPr>
        <w:pStyle w:val="Heading1"/>
      </w:pPr>
      <w:r>
        <w:t>三、重点关注事项</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152"/>
            <w:vAlign w:val="top"/>
            <w:shd w:fill="0F766D"/>
          </w:tcPr>
          <w:p>
            <w:pPr>
              <w:spacing w:after="0"/>
            </w:pPr>
            <w:r/>
            <w:r>
              <w:rPr>
                <w:rFonts w:ascii="Microsoft YaHei" w:hAnsi="Microsoft YaHei" w:eastAsia="微软雅黑"/>
                <w:b/>
                <w:color w:val="FFFFFF"/>
                <w:sz w:val="18"/>
              </w:rPr>
              <w:t>日期</w:t>
            </w:r>
          </w:p>
        </w:tc>
        <w:tc>
          <w:tcPr>
            <w:tcW w:type="dxa" w:w="1080"/>
            <w:vAlign w:val="top"/>
            <w:shd w:fill="0F766D"/>
          </w:tcPr>
          <w:p>
            <w:pPr>
              <w:spacing w:after="0"/>
            </w:pPr>
            <w:r/>
            <w:r>
              <w:rPr>
                <w:rFonts w:ascii="Microsoft YaHei" w:hAnsi="Microsoft YaHei" w:eastAsia="微软雅黑"/>
                <w:b/>
                <w:color w:val="FFFFFF"/>
                <w:sz w:val="18"/>
              </w:rPr>
              <w:t>来源</w:t>
            </w:r>
          </w:p>
        </w:tc>
        <w:tc>
          <w:tcPr>
            <w:tcW w:type="dxa" w:w="1944"/>
            <w:vAlign w:val="top"/>
            <w:shd w:fill="0F766D"/>
          </w:tcPr>
          <w:p>
            <w:pPr>
              <w:spacing w:after="0"/>
            </w:pPr>
            <w:r/>
            <w:r>
              <w:rPr>
                <w:rFonts w:ascii="Microsoft YaHei" w:hAnsi="Microsoft YaHei" w:eastAsia="微软雅黑"/>
                <w:b/>
                <w:color w:val="FFFFFF"/>
                <w:sz w:val="18"/>
              </w:rPr>
              <w:t>产品/竞品口径</w:t>
            </w:r>
          </w:p>
        </w:tc>
        <w:tc>
          <w:tcPr>
            <w:tcW w:type="dxa" w:w="1224"/>
            <w:vAlign w:val="top"/>
            <w:shd w:fill="0F766D"/>
          </w:tcPr>
          <w:p>
            <w:pPr>
              <w:spacing w:after="0"/>
            </w:pPr>
            <w:r/>
            <w:r>
              <w:rPr>
                <w:rFonts w:ascii="Microsoft YaHei" w:hAnsi="Microsoft YaHei" w:eastAsia="微软雅黑"/>
                <w:b/>
                <w:color w:val="FFFFFF"/>
                <w:sz w:val="18"/>
              </w:rPr>
              <w:t>证据/跟进</w:t>
            </w:r>
          </w:p>
        </w:tc>
        <w:tc>
          <w:tcPr>
            <w:tcW w:type="dxa" w:w="2448"/>
            <w:vAlign w:val="top"/>
            <w:shd w:fill="0F766D"/>
          </w:tcPr>
          <w:p>
            <w:pPr>
              <w:spacing w:after="0"/>
            </w:pPr>
            <w:r/>
            <w:r>
              <w:rPr>
                <w:rFonts w:ascii="Microsoft YaHei" w:hAnsi="Microsoft YaHei" w:eastAsia="微软雅黑"/>
                <w:b/>
                <w:color w:val="FFFFFF"/>
                <w:sz w:val="18"/>
              </w:rPr>
              <w:t>标题/事件</w:t>
            </w:r>
          </w:p>
        </w:tc>
        <w:tc>
          <w:tcPr>
            <w:tcW w:type="dxa" w:w="3096"/>
            <w:vAlign w:val="top"/>
            <w:shd w:fill="0F766D"/>
          </w:tcPr>
          <w:p>
            <w:pPr>
              <w:spacing w:after="0"/>
            </w:pPr>
            <w:r/>
            <w:r>
              <w:rPr>
                <w:rFonts w:ascii="Microsoft YaHei" w:hAnsi="Microsoft YaHei" w:eastAsia="微软雅黑"/>
                <w:b/>
                <w:color w:val="FFFFFF"/>
                <w:sz w:val="18"/>
              </w:rPr>
              <w:t>核心内容摘要</w:t>
            </w:r>
          </w:p>
        </w:tc>
        <w:tc>
          <w:tcPr>
            <w:tcW w:type="dxa" w:w="2160"/>
            <w:vAlign w:val="top"/>
            <w:shd w:fill="0F766D"/>
          </w:tcPr>
          <w:p>
            <w:pPr>
              <w:spacing w:after="0"/>
            </w:pPr>
            <w:r/>
            <w:r>
              <w:rPr>
                <w:rFonts w:ascii="Microsoft YaHei" w:hAnsi="Microsoft YaHei" w:eastAsia="微软雅黑"/>
                <w:b/>
                <w:color w:val="FFFFFF"/>
                <w:sz w:val="18"/>
              </w:rPr>
              <w:t>影响判断</w:t>
            </w:r>
          </w:p>
        </w:tc>
      </w:tr>
      <w:tr>
        <w:tc>
          <w:tcPr>
            <w:tcW w:type="dxa" w:w="1152"/>
            <w:vAlign w:val="top"/>
          </w:tcPr>
          <w:p>
            <w:pPr>
              <w:spacing w:after="0"/>
            </w:pPr>
            <w:r/>
            <w:r>
              <w:rPr>
                <w:rFonts w:ascii="Microsoft YaHei" w:hAnsi="Microsoft YaHei" w:eastAsia="微软雅黑"/>
                <w:b w:val="0"/>
                <w:sz w:val="18"/>
              </w:rPr>
              <w:t>2026-06-18</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本品/同成分；立普妥及阿托伐他汀仿制药</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阿托伐他汀钙相关 ClinicalTrials.gov 临床研究更新（NCT06974084）</w:t>
            </w:r>
          </w:p>
        </w:tc>
        <w:tc>
          <w:tcPr>
            <w:tcW w:type="dxa" w:w="3096"/>
            <w:vAlign w:val="top"/>
          </w:tcPr>
          <w:p>
            <w:pPr>
              <w:spacing w:after="0"/>
            </w:pPr>
            <w:r/>
            <w:r>
              <w:rPr>
                <w:rFonts w:ascii="Microsoft YaHei" w:hAnsi="Microsoft YaHei" w:eastAsia="微软雅黑"/>
                <w:b w:val="0"/>
                <w:sz w:val="18"/>
              </w:rPr>
              <w:t>ClinicalTrials.gov 研究：A Multi-Center, Individually-Randomized, Double-Blind, Placebo-Controlled, Parallel-Group,（详见网站明细）</w:t>
            </w:r>
          </w:p>
        </w:tc>
        <w:tc>
          <w:tcPr>
            <w:tcW w:type="dxa" w:w="2160"/>
            <w:vAlign w:val="top"/>
          </w:tcPr>
          <w:p>
            <w:pPr>
              <w:spacing w:after="0"/>
            </w:pPr>
            <w:r/>
            <w:r>
              <w:rPr>
                <w:rFonts w:ascii="Microsoft YaHei" w:hAnsi="Microsoft YaHei" w:eastAsia="微软雅黑"/>
                <w:b w:val="0"/>
                <w:sz w:val="18"/>
              </w:rPr>
              <w:t>同成分价格与一致性评价竞争；建议查看研究设计、入排标准和终点，判断对立普妥或同机制竞品监测的影响。</w:t>
            </w:r>
          </w:p>
        </w:tc>
      </w:tr>
      <w:tr>
        <w:tc>
          <w:tcPr>
            <w:tcW w:type="dxa" w:w="1152"/>
            <w:vAlign w:val="top"/>
          </w:tcPr>
          <w:p>
            <w:pPr>
              <w:spacing w:after="0"/>
            </w:pPr>
            <w:r/>
            <w:r>
              <w:rPr>
                <w:rFonts w:ascii="Microsoft YaHei" w:hAnsi="Microsoft YaHei" w:eastAsia="微软雅黑"/>
                <w:b w:val="0"/>
                <w:sz w:val="18"/>
              </w:rPr>
              <w:t>2026-06-12</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直接竞品；可定/Crestor</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瑞舒伐他汀钙相关 ClinicalTrials.gov 临床研究更新（NCT07303816）</w:t>
            </w:r>
          </w:p>
        </w:tc>
        <w:tc>
          <w:tcPr>
            <w:tcW w:type="dxa" w:w="3096"/>
            <w:vAlign w:val="top"/>
          </w:tcPr>
          <w:p>
            <w:pPr>
              <w:spacing w:after="0"/>
            </w:pPr>
            <w:r/>
            <w:r>
              <w:rPr>
                <w:rFonts w:ascii="Microsoft YaHei" w:hAnsi="Microsoft YaHei" w:eastAsia="微软雅黑"/>
                <w:b w:val="0"/>
                <w:sz w:val="18"/>
              </w:rPr>
              <w:t>ClinicalTrials.gov 研究：Statins to Prevent Cancer Associated Blood Clots；NCT：NCT07303816；状态：RECRUITING；阶段：PHASE4；适应症/疾病：Venous Thromboembolism；Cancer；（详见网站明细）</w:t>
            </w:r>
          </w:p>
        </w:tc>
        <w:tc>
          <w:tcPr>
            <w:tcW w:type="dxa" w:w="2160"/>
            <w:vAlign w:val="top"/>
          </w:tcPr>
          <w:p>
            <w:pPr>
              <w:spacing w:after="0"/>
            </w:pPr>
            <w:r/>
            <w:r>
              <w:rPr>
                <w:rFonts w:ascii="Microsoft YaHei" w:hAnsi="Microsoft YaHei" w:eastAsia="微软雅黑"/>
                <w:b w:val="0"/>
                <w:sz w:val="18"/>
              </w:rPr>
              <w:t>高强度他汀核心替代；建议查看研究设计、入排标准和终点，判断对立普妥或同机制竞品监测的影响。</w:t>
            </w:r>
          </w:p>
        </w:tc>
      </w:tr>
      <w:tr>
        <w:tc>
          <w:tcPr>
            <w:tcW w:type="dxa" w:w="1152"/>
            <w:vAlign w:val="top"/>
          </w:tcPr>
          <w:p>
            <w:pPr>
              <w:spacing w:after="0"/>
            </w:pPr>
            <w:r/>
            <w:r>
              <w:rPr>
                <w:rFonts w:ascii="Microsoft YaHei" w:hAnsi="Microsoft YaHei" w:eastAsia="微软雅黑"/>
                <w:b w:val="0"/>
                <w:sz w:val="18"/>
              </w:rPr>
              <w:t>2026-06-12</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直接竞品；可定/Crestor</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瑞舒伐他汀钙相关 ClinicalTrials.gov 临床研究更新（NCT07216482）</w:t>
            </w:r>
          </w:p>
        </w:tc>
        <w:tc>
          <w:tcPr>
            <w:tcW w:type="dxa" w:w="3096"/>
            <w:vAlign w:val="top"/>
          </w:tcPr>
          <w:p>
            <w:pPr>
              <w:spacing w:after="0"/>
            </w:pPr>
            <w:r/>
            <w:r>
              <w:rPr>
                <w:rFonts w:ascii="Microsoft YaHei" w:hAnsi="Microsoft YaHei" w:eastAsia="微软雅黑"/>
                <w:b w:val="0"/>
                <w:sz w:val="18"/>
              </w:rPr>
              <w:t>ClinicalTrials.gov 研究：A Clinical Study of Enlicitide in Participants With High Cholesterol (MK-0616-037)；NCT：NCT07216482；状态：RECRUITING；阶段：PHASE3；（详见网站明细）</w:t>
            </w:r>
          </w:p>
        </w:tc>
        <w:tc>
          <w:tcPr>
            <w:tcW w:type="dxa" w:w="2160"/>
            <w:vAlign w:val="top"/>
          </w:tcPr>
          <w:p>
            <w:pPr>
              <w:spacing w:after="0"/>
            </w:pPr>
            <w:r/>
            <w:r>
              <w:rPr>
                <w:rFonts w:ascii="Microsoft YaHei" w:hAnsi="Microsoft YaHei" w:eastAsia="微软雅黑"/>
                <w:b w:val="0"/>
                <w:sz w:val="18"/>
              </w:rPr>
              <w:t>高强度他汀核心替代；建议查看研究设计、入排标准和终点，判断对立普妥或同机制竞品监测的影响。</w:t>
            </w:r>
          </w:p>
        </w:tc>
      </w:tr>
      <w:tr>
        <w:tc>
          <w:tcPr>
            <w:tcW w:type="dxa" w:w="1152"/>
            <w:vAlign w:val="top"/>
          </w:tcPr>
          <w:p>
            <w:pPr>
              <w:spacing w:after="0"/>
            </w:pPr>
            <w:r/>
            <w:r>
              <w:rPr>
                <w:rFonts w:ascii="Microsoft YaHei" w:hAnsi="Microsoft YaHei" w:eastAsia="微软雅黑"/>
                <w:b w:val="0"/>
                <w:sz w:val="18"/>
              </w:rPr>
              <w:t>2026-06-12</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PCSK9 竞品；瑞百安同类国产管线</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瑞卡西单抗相关 ClinicalTrials.gov 临床研究更新（NCT06902740）</w:t>
            </w:r>
          </w:p>
        </w:tc>
        <w:tc>
          <w:tcPr>
            <w:tcW w:type="dxa" w:w="3096"/>
            <w:vAlign w:val="top"/>
          </w:tcPr>
          <w:p>
            <w:pPr>
              <w:spacing w:after="0"/>
            </w:pPr>
            <w:r/>
            <w:r>
              <w:rPr>
                <w:rFonts w:ascii="Microsoft YaHei" w:hAnsi="Microsoft YaHei" w:eastAsia="微软雅黑"/>
                <w:b w:val="0"/>
                <w:sz w:val="18"/>
              </w:rPr>
              <w:t>ClinicalTrials.gov 研究：PCSK9 Inhibitor With Statin Therapy for Asymptomatic Intracranial Atherosclerosis；NCT：NCT06902740；状态：RECRUITING；阶段：PHASE4；（详见网站明细）</w:t>
            </w:r>
          </w:p>
        </w:tc>
        <w:tc>
          <w:tcPr>
            <w:tcW w:type="dxa" w:w="2160"/>
            <w:vAlign w:val="top"/>
          </w:tcPr>
          <w:p>
            <w:pPr>
              <w:spacing w:after="0"/>
            </w:pPr>
            <w:r/>
            <w:r>
              <w:rPr>
                <w:rFonts w:ascii="Microsoft YaHei" w:hAnsi="Microsoft YaHei" w:eastAsia="微软雅黑"/>
                <w:b w:val="0"/>
                <w:sz w:val="18"/>
              </w:rPr>
              <w:t>国产 PCSK9 单抗竞争；建议查看研究设计、入排标准和终点，判断对立普妥或同机制竞品监测的影响。</w:t>
            </w:r>
          </w:p>
        </w:tc>
      </w:tr>
      <w:tr>
        <w:tc>
          <w:tcPr>
            <w:tcW w:type="dxa" w:w="1152"/>
            <w:vAlign w:val="top"/>
          </w:tcPr>
          <w:p>
            <w:pPr>
              <w:spacing w:after="0"/>
            </w:pPr>
            <w:r/>
            <w:r>
              <w:rPr>
                <w:rFonts w:ascii="Microsoft YaHei" w:hAnsi="Microsoft YaHei" w:eastAsia="微软雅黑"/>
                <w:b w:val="0"/>
                <w:sz w:val="18"/>
              </w:rPr>
              <w:t>2026-06-11</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立普妥</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贝派地酸+依折麦布+瑞舒伐他汀/阿托伐他汀联合研究更新</w:t>
            </w:r>
          </w:p>
        </w:tc>
        <w:tc>
          <w:tcPr>
            <w:tcW w:type="dxa" w:w="3096"/>
            <w:vAlign w:val="top"/>
          </w:tcPr>
          <w:p>
            <w:pPr>
              <w:spacing w:after="0"/>
            </w:pPr>
            <w:r/>
            <w:r>
              <w:rPr>
                <w:rFonts w:ascii="Microsoft YaHei" w:hAnsi="Microsoft YaHei" w:eastAsia="微软雅黑"/>
                <w:b w:val="0"/>
                <w:sz w:val="18"/>
              </w:rPr>
              <w:t>高胆固醇/混合型血脂异常患者中评估贝派地酸联合依折麦布与瑞舒伐他汀或阿托伐他汀。</w:t>
            </w:r>
          </w:p>
        </w:tc>
        <w:tc>
          <w:tcPr>
            <w:tcW w:type="dxa" w:w="2160"/>
            <w:vAlign w:val="top"/>
          </w:tcPr>
          <w:p>
            <w:pPr>
              <w:spacing w:after="0"/>
            </w:pPr>
            <w:r/>
            <w:r>
              <w:rPr>
                <w:rFonts w:ascii="Microsoft YaHei" w:hAnsi="Microsoft YaHei" w:eastAsia="微软雅黑"/>
                <w:b w:val="0"/>
                <w:sz w:val="18"/>
              </w:rPr>
              <w:t>反映降脂联合方案竞争持续增强。</w:t>
            </w:r>
          </w:p>
        </w:tc>
      </w:tr>
      <w:tr>
        <w:tc>
          <w:tcPr>
            <w:tcW w:type="dxa" w:w="1152"/>
            <w:vAlign w:val="top"/>
          </w:tcPr>
          <w:p>
            <w:pPr>
              <w:spacing w:after="0"/>
            </w:pPr>
            <w:r/>
            <w:r>
              <w:rPr>
                <w:rFonts w:ascii="Microsoft YaHei" w:hAnsi="Microsoft YaHei" w:eastAsia="微软雅黑"/>
                <w:b w:val="0"/>
                <w:sz w:val="18"/>
              </w:rPr>
              <w:t>2026-06-09</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立普妥</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急性缺血性卒中中 PCSK9 抑制剂联合他汀研究</w:t>
            </w:r>
          </w:p>
        </w:tc>
        <w:tc>
          <w:tcPr>
            <w:tcW w:type="dxa" w:w="3096"/>
            <w:vAlign w:val="top"/>
          </w:tcPr>
          <w:p>
            <w:pPr>
              <w:spacing w:after="0"/>
            </w:pPr>
            <w:r/>
            <w:r>
              <w:rPr>
                <w:rFonts w:ascii="Microsoft YaHei" w:hAnsi="Microsoft YaHei" w:eastAsia="微软雅黑"/>
                <w:b w:val="0"/>
                <w:sz w:val="18"/>
              </w:rPr>
              <w:t>急性缺血性卒中中评估 PCSK9 抑制剂联合阿托伐他汀/瑞舒伐他汀的疗效和安全性。</w:t>
            </w:r>
          </w:p>
        </w:tc>
        <w:tc>
          <w:tcPr>
            <w:tcW w:type="dxa" w:w="2160"/>
            <w:vAlign w:val="top"/>
          </w:tcPr>
          <w:p>
            <w:pPr>
              <w:spacing w:after="0"/>
            </w:pPr>
            <w:r/>
            <w:r>
              <w:rPr>
                <w:rFonts w:ascii="Microsoft YaHei" w:hAnsi="Microsoft YaHei" w:eastAsia="微软雅黑"/>
                <w:b w:val="0"/>
                <w:sz w:val="18"/>
              </w:rPr>
              <w:t>与高强度降脂策略相关，可跟踪结果披露。</w:t>
            </w:r>
          </w:p>
        </w:tc>
      </w:tr>
      <w:tr>
        <w:tc>
          <w:tcPr>
            <w:tcW w:type="dxa" w:w="1152"/>
            <w:vAlign w:val="top"/>
          </w:tcPr>
          <w:p>
            <w:pPr>
              <w:spacing w:after="0"/>
            </w:pPr>
            <w:r/>
            <w:r>
              <w:rPr>
                <w:rFonts w:ascii="Microsoft YaHei" w:hAnsi="Microsoft YaHei" w:eastAsia="微软雅黑"/>
                <w:b w:val="0"/>
                <w:sz w:val="18"/>
              </w:rPr>
              <w:t>2026-06-05</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立普妥</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阿托伐他汀预防顺铂诱导听力损失研究</w:t>
            </w:r>
          </w:p>
        </w:tc>
        <w:tc>
          <w:tcPr>
            <w:tcW w:type="dxa" w:w="3096"/>
            <w:vAlign w:val="top"/>
          </w:tcPr>
          <w:p>
            <w:pPr>
              <w:spacing w:after="0"/>
            </w:pPr>
            <w:r/>
            <w:r>
              <w:rPr>
                <w:rFonts w:ascii="Microsoft YaHei" w:hAnsi="Microsoft YaHei" w:eastAsia="微软雅黑"/>
                <w:b w:val="0"/>
                <w:sz w:val="18"/>
              </w:rPr>
              <w:t>头颈癌患者顺铂相关听力损失预防的 2期研究仍在招募。</w:t>
            </w:r>
          </w:p>
        </w:tc>
        <w:tc>
          <w:tcPr>
            <w:tcW w:type="dxa" w:w="2160"/>
            <w:vAlign w:val="top"/>
          </w:tcPr>
          <w:p>
            <w:pPr>
              <w:spacing w:after="0"/>
            </w:pPr>
            <w:r/>
            <w:r>
              <w:rPr>
                <w:rFonts w:ascii="Microsoft YaHei" w:hAnsi="Microsoft YaHei" w:eastAsia="微软雅黑"/>
                <w:b w:val="0"/>
                <w:sz w:val="18"/>
              </w:rPr>
              <w:t>阿托伐他汀再定位方向，医学价值高于商业短期影响。</w:t>
            </w:r>
          </w:p>
        </w:tc>
      </w:tr>
      <w:tr>
        <w:tc>
          <w:tcPr>
            <w:tcW w:type="dxa" w:w="1152"/>
            <w:vAlign w:val="top"/>
          </w:tcPr>
          <w:p>
            <w:pPr>
              <w:spacing w:after="0"/>
            </w:pPr>
            <w:r/>
            <w:r>
              <w:rPr>
                <w:rFonts w:ascii="Microsoft YaHei" w:hAnsi="Microsoft YaHei" w:eastAsia="微软雅黑"/>
                <w:b w:val="0"/>
                <w:sz w:val="18"/>
              </w:rPr>
              <w:t>2026-06-03</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机制/联合竞品；Nexletol/Nilemdo</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贝派地酸相关 ClinicalTrials.gov 临床研究更新（NCT07623915）</w:t>
            </w:r>
          </w:p>
        </w:tc>
        <w:tc>
          <w:tcPr>
            <w:tcW w:type="dxa" w:w="3096"/>
            <w:vAlign w:val="top"/>
          </w:tcPr>
          <w:p>
            <w:pPr>
              <w:spacing w:after="0"/>
            </w:pPr>
            <w:r/>
            <w:r>
              <w:rPr>
                <w:rFonts w:ascii="Microsoft YaHei" w:hAnsi="Microsoft YaHei" w:eastAsia="微软雅黑"/>
                <w:b w:val="0"/>
                <w:sz w:val="18"/>
              </w:rPr>
              <w:t>ClinicalTrials.gov 研究：A Clinical Study to Evaluate the Efficacy and Safety of Bempedoic Acid；NCT：NCT07623915；状态：NOT_YET_RECRUITING；阶段：PHASE3；（详见网站明细）</w:t>
            </w:r>
          </w:p>
        </w:tc>
        <w:tc>
          <w:tcPr>
            <w:tcW w:type="dxa" w:w="2160"/>
            <w:vAlign w:val="top"/>
          </w:tcPr>
          <w:p>
            <w:pPr>
              <w:spacing w:after="0"/>
            </w:pPr>
            <w:r/>
            <w:r>
              <w:rPr>
                <w:rFonts w:ascii="Microsoft YaHei" w:hAnsi="Microsoft YaHei" w:eastAsia="微软雅黑"/>
                <w:b w:val="0"/>
                <w:sz w:val="18"/>
              </w:rPr>
              <w:t>他汀不耐受及联合降脂；建议查看研究设计、入排标准和终点，判断对立普妥或同机制竞品监测的影响。</w:t>
            </w:r>
          </w:p>
        </w:tc>
      </w:tr>
      <w:tr>
        <w:tc>
          <w:tcPr>
            <w:tcW w:type="dxa" w:w="1152"/>
            <w:vAlign w:val="top"/>
          </w:tcPr>
          <w:p>
            <w:pPr>
              <w:spacing w:after="0"/>
            </w:pPr>
            <w:r/>
            <w:r>
              <w:rPr>
                <w:rFonts w:ascii="Microsoft YaHei" w:hAnsi="Microsoft YaHei" w:eastAsia="微软雅黑"/>
                <w:b w:val="0"/>
                <w:sz w:val="18"/>
              </w:rPr>
              <w:t>2026-06-02</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本品/同成分；立普妥及阿托伐他汀仿制药</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阿托伐他汀钙相关 ClinicalTrials.gov 临床研究更新（NCT06372925）</w:t>
            </w:r>
          </w:p>
        </w:tc>
        <w:tc>
          <w:tcPr>
            <w:tcW w:type="dxa" w:w="3096"/>
            <w:vAlign w:val="top"/>
          </w:tcPr>
          <w:p>
            <w:pPr>
              <w:spacing w:after="0"/>
            </w:pPr>
            <w:r/>
            <w:r>
              <w:rPr>
                <w:rFonts w:ascii="Microsoft YaHei" w:hAnsi="Microsoft YaHei" w:eastAsia="微软雅黑"/>
                <w:b w:val="0"/>
                <w:sz w:val="18"/>
              </w:rPr>
              <w:t>ClinicalTrials.gov 研究：Intravascular Imaging Study of the Effect of Inclisiran on Plaque in Patients With Acute Myocardial Infarction；NCT：NCT06372925；（详见网站明细）</w:t>
            </w:r>
          </w:p>
        </w:tc>
        <w:tc>
          <w:tcPr>
            <w:tcW w:type="dxa" w:w="2160"/>
            <w:vAlign w:val="top"/>
          </w:tcPr>
          <w:p>
            <w:pPr>
              <w:spacing w:after="0"/>
            </w:pPr>
            <w:r/>
            <w:r>
              <w:rPr>
                <w:rFonts w:ascii="Microsoft YaHei" w:hAnsi="Microsoft YaHei" w:eastAsia="微软雅黑"/>
                <w:b w:val="0"/>
                <w:sz w:val="18"/>
              </w:rPr>
              <w:t>同成分价格与一致性评价竞争；建议查看研究设计、入排标准和终点，判断对立普妥或同机制竞品监测的影响。</w:t>
            </w:r>
          </w:p>
        </w:tc>
      </w:tr>
      <w:tr>
        <w:tc>
          <w:tcPr>
            <w:tcW w:type="dxa" w:w="1152"/>
            <w:vAlign w:val="top"/>
          </w:tcPr>
          <w:p>
            <w:pPr>
              <w:spacing w:after="0"/>
            </w:pPr>
            <w:r/>
            <w:r>
              <w:rPr>
                <w:rFonts w:ascii="Microsoft YaHei" w:hAnsi="Microsoft YaHei" w:eastAsia="微软雅黑"/>
                <w:b w:val="0"/>
                <w:sz w:val="18"/>
              </w:rPr>
              <w:t>2026-06-01</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直接竞品；可定/Crestor</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瑞舒伐他汀钙相关 ClinicalTrials.gov 临床研究更新（NCT07619131）</w:t>
            </w:r>
          </w:p>
        </w:tc>
        <w:tc>
          <w:tcPr>
            <w:tcW w:type="dxa" w:w="3096"/>
            <w:vAlign w:val="top"/>
          </w:tcPr>
          <w:p>
            <w:pPr>
              <w:spacing w:after="0"/>
            </w:pPr>
            <w:r/>
            <w:r>
              <w:rPr>
                <w:rFonts w:ascii="Microsoft YaHei" w:hAnsi="Microsoft YaHei" w:eastAsia="微软雅黑"/>
                <w:b w:val="0"/>
                <w:sz w:val="18"/>
              </w:rPr>
              <w:t>ClinicalTrials.gov 研究：A Phase III Study to Assess the Effect of FDC Laroprovstat/Rosuvastatin Compared With Laroprovstat,（详见网站明细）</w:t>
            </w:r>
          </w:p>
        </w:tc>
        <w:tc>
          <w:tcPr>
            <w:tcW w:type="dxa" w:w="2160"/>
            <w:vAlign w:val="top"/>
          </w:tcPr>
          <w:p>
            <w:pPr>
              <w:spacing w:after="0"/>
            </w:pPr>
            <w:r/>
            <w:r>
              <w:rPr>
                <w:rFonts w:ascii="Microsoft YaHei" w:hAnsi="Microsoft YaHei" w:eastAsia="微软雅黑"/>
                <w:b w:val="0"/>
                <w:sz w:val="18"/>
              </w:rPr>
              <w:t>高强度他汀核心替代；建议查看研究设计、入排标准和终点，判断对立普妥或同机制竞品监测的影响。</w:t>
            </w:r>
          </w:p>
        </w:tc>
      </w:tr>
    </w:tbl>
    <w:p>
      <w:pPr>
        <w:pStyle w:val="Heading1"/>
      </w:pPr>
      <w:r>
        <w:t>四、KOL/专家动态</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152"/>
            <w:vAlign w:val="top"/>
            <w:shd w:fill="0F766D"/>
          </w:tcPr>
          <w:p>
            <w:pPr>
              <w:spacing w:after="0"/>
            </w:pPr>
            <w:r/>
            <w:r>
              <w:rPr>
                <w:rFonts w:ascii="Microsoft YaHei" w:hAnsi="Microsoft YaHei" w:eastAsia="微软雅黑"/>
                <w:b/>
                <w:color w:val="FFFFFF"/>
                <w:sz w:val="18"/>
              </w:rPr>
              <w:t>日期</w:t>
            </w:r>
          </w:p>
        </w:tc>
        <w:tc>
          <w:tcPr>
            <w:tcW w:type="dxa" w:w="1296"/>
            <w:vAlign w:val="top"/>
            <w:shd w:fill="0F766D"/>
          </w:tcPr>
          <w:p>
            <w:pPr>
              <w:spacing w:after="0"/>
            </w:pPr>
            <w:r/>
            <w:r>
              <w:rPr>
                <w:rFonts w:ascii="Microsoft YaHei" w:hAnsi="Microsoft YaHei" w:eastAsia="微软雅黑"/>
                <w:b/>
                <w:color w:val="FFFFFF"/>
                <w:sz w:val="18"/>
              </w:rPr>
              <w:t>来源</w:t>
            </w:r>
          </w:p>
        </w:tc>
        <w:tc>
          <w:tcPr>
            <w:tcW w:type="dxa" w:w="936"/>
            <w:vAlign w:val="top"/>
            <w:shd w:fill="0F766D"/>
          </w:tcPr>
          <w:p>
            <w:pPr>
              <w:spacing w:after="0"/>
            </w:pPr>
            <w:r/>
            <w:r>
              <w:rPr>
                <w:rFonts w:ascii="Microsoft YaHei" w:hAnsi="Microsoft YaHei" w:eastAsia="微软雅黑"/>
                <w:b/>
                <w:color w:val="FFFFFF"/>
                <w:sz w:val="18"/>
              </w:rPr>
              <w:t>类型</w:t>
            </w:r>
          </w:p>
        </w:tc>
        <w:tc>
          <w:tcPr>
            <w:tcW w:type="dxa" w:w="2160"/>
            <w:vAlign w:val="top"/>
            <w:shd w:fill="0F766D"/>
          </w:tcPr>
          <w:p>
            <w:pPr>
              <w:spacing w:after="0"/>
            </w:pPr>
            <w:r/>
            <w:r>
              <w:rPr>
                <w:rFonts w:ascii="Microsoft YaHei" w:hAnsi="Microsoft YaHei" w:eastAsia="微软雅黑"/>
                <w:b/>
                <w:color w:val="FFFFFF"/>
                <w:sz w:val="18"/>
              </w:rPr>
              <w:t>专家/机构</w:t>
            </w:r>
          </w:p>
        </w:tc>
        <w:tc>
          <w:tcPr>
            <w:tcW w:type="dxa" w:w="2592"/>
            <w:vAlign w:val="top"/>
            <w:shd w:fill="0F766D"/>
          </w:tcPr>
          <w:p>
            <w:pPr>
              <w:spacing w:after="0"/>
            </w:pPr>
            <w:r/>
            <w:r>
              <w:rPr>
                <w:rFonts w:ascii="Microsoft YaHei" w:hAnsi="Microsoft YaHei" w:eastAsia="微软雅黑"/>
                <w:b/>
                <w:color w:val="FFFFFF"/>
                <w:sz w:val="18"/>
              </w:rPr>
              <w:t>标题</w:t>
            </w:r>
          </w:p>
        </w:tc>
        <w:tc>
          <w:tcPr>
            <w:tcW w:type="dxa" w:w="1728"/>
            <w:vAlign w:val="top"/>
            <w:shd w:fill="0F766D"/>
          </w:tcPr>
          <w:p>
            <w:pPr>
              <w:spacing w:after="0"/>
            </w:pPr>
            <w:r/>
            <w:r>
              <w:rPr>
                <w:rFonts w:ascii="Microsoft YaHei" w:hAnsi="Microsoft YaHei" w:eastAsia="微软雅黑"/>
                <w:b/>
                <w:color w:val="FFFFFF"/>
                <w:sz w:val="18"/>
              </w:rPr>
              <w:t>产品信息</w:t>
            </w:r>
          </w:p>
        </w:tc>
        <w:tc>
          <w:tcPr>
            <w:tcW w:type="dxa" w:w="3240"/>
            <w:vAlign w:val="top"/>
            <w:shd w:fill="0F766D"/>
          </w:tcPr>
          <w:p>
            <w:pPr>
              <w:spacing w:after="0"/>
            </w:pPr>
            <w:r/>
            <w:r>
              <w:rPr>
                <w:rFonts w:ascii="Microsoft YaHei" w:hAnsi="Microsoft YaHei" w:eastAsia="微软雅黑"/>
                <w:b/>
                <w:color w:val="FFFFFF"/>
                <w:sz w:val="18"/>
              </w:rPr>
              <w:t>内容概要</w:t>
            </w:r>
          </w:p>
        </w:tc>
      </w:tr>
      <w:tr>
        <w:tc>
          <w:tcPr>
            <w:tcW w:type="dxa" w:w="1152"/>
            <w:vAlign w:val="top"/>
          </w:tcPr>
          <w:p>
            <w:pPr>
              <w:spacing w:after="0"/>
            </w:pPr>
            <w:r/>
            <w:r>
              <w:rPr>
                <w:rFonts w:ascii="Microsoft YaHei" w:hAnsi="Microsoft YaHei" w:eastAsia="微软雅黑"/>
                <w:b w:val="0"/>
                <w:sz w:val="18"/>
              </w:rPr>
              <w:t>2026-06-11</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李建军 / 中国医学科学院阜外医院</w:t>
            </w:r>
          </w:p>
        </w:tc>
        <w:tc>
          <w:tcPr>
            <w:tcW w:type="dxa" w:w="2592"/>
            <w:vAlign w:val="top"/>
          </w:tcPr>
          <w:p>
            <w:pPr>
              <w:spacing w:after="0"/>
            </w:pPr>
            <w:r/>
            <w:r>
              <w:rPr>
                <w:rFonts w:ascii="Microsoft YaHei" w:hAnsi="Microsoft YaHei" w:eastAsia="微软雅黑"/>
                <w:b w:val="0"/>
                <w:sz w:val="18"/>
              </w:rPr>
              <w:t>Recaticimab：第一个 Fc 工程 PCSK9 单克隆抗体，具有更持久的降脂作用。</w:t>
            </w:r>
          </w:p>
        </w:tc>
        <w:tc>
          <w:tcPr>
            <w:tcW w:type="dxa" w:w="1728"/>
            <w:vAlign w:val="top"/>
          </w:tcPr>
          <w:p>
            <w:pPr>
              <w:spacing w:after="0"/>
            </w:pPr>
            <w:r/>
            <w:r>
              <w:rPr>
                <w:rFonts w:ascii="Microsoft YaHei" w:hAnsi="Microsoft YaHei" w:eastAsia="微软雅黑"/>
                <w:b w:val="0"/>
                <w:sz w:val="18"/>
              </w:rPr>
              <w:t>瑞卡西单抗 / recaticimab；PCSK9</w:t>
            </w:r>
          </w:p>
        </w:tc>
        <w:tc>
          <w:tcPr>
            <w:tcW w:type="dxa" w:w="3240"/>
            <w:vAlign w:val="top"/>
          </w:tcPr>
          <w:p>
            <w:pPr>
              <w:spacing w:after="0"/>
            </w:pPr>
            <w:r/>
            <w:r>
              <w:rPr>
                <w:rFonts w:ascii="Microsoft YaHei" w:hAnsi="Microsoft YaHei" w:eastAsia="微软雅黑"/>
                <w:b w:val="0"/>
                <w:sz w:val="18"/>
              </w:rPr>
              <w:t>研究主题：Recaticimab：第一个 Fc 工程 PCSK9 单克隆抗体，具有更持久的降脂作用。摘要要点：动脉粥样硬化性心血管疾病 (ASCVD) 仍然是全世界发病和死亡的主要原因，其中低密度脂蛋白胆固醇 (LDL-C) 升高是主要的可改变危险因素。（详见网站明细）</w:t>
            </w:r>
          </w:p>
        </w:tc>
      </w:tr>
      <w:tr>
        <w:tc>
          <w:tcPr>
            <w:tcW w:type="dxa" w:w="1152"/>
            <w:vAlign w:val="top"/>
          </w:tcPr>
          <w:p>
            <w:pPr>
              <w:spacing w:after="0"/>
            </w:pPr>
            <w:r/>
            <w:r>
              <w:rPr>
                <w:rFonts w:ascii="Microsoft YaHei" w:hAnsi="Microsoft YaHei" w:eastAsia="微软雅黑"/>
                <w:b w:val="0"/>
                <w:sz w:val="18"/>
              </w:rPr>
              <w:t>2026-06-09</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徐安定 / 暨南大学附属第一医院</w:t>
            </w:r>
          </w:p>
        </w:tc>
        <w:tc>
          <w:tcPr>
            <w:tcW w:type="dxa" w:w="2592"/>
            <w:vAlign w:val="top"/>
          </w:tcPr>
          <w:p>
            <w:pPr>
              <w:spacing w:after="0"/>
            </w:pPr>
            <w:r/>
            <w:r>
              <w:rPr>
                <w:rFonts w:ascii="Microsoft YaHei" w:hAnsi="Microsoft YaHei" w:eastAsia="微软雅黑"/>
                <w:b w:val="0"/>
                <w:sz w:val="18"/>
              </w:rPr>
              <w:t>特拉唑嗪通过脑缺血再灌注损伤中的线粒体自噬调节线粒体 ROS/NLRP3 炎性体轴，从而减轻神经元焦亡。</w:t>
            </w:r>
          </w:p>
        </w:tc>
        <w:tc>
          <w:tcPr>
            <w:tcW w:type="dxa" w:w="1728"/>
            <w:vAlign w:val="top"/>
          </w:tcPr>
          <w:p>
            <w:pPr>
              <w:spacing w:after="0"/>
            </w:pPr>
            <w:r/>
            <w:r>
              <w:rPr>
                <w:rFonts w:ascii="Microsoft YaHei" w:hAnsi="Microsoft YaHei" w:eastAsia="微软雅黑"/>
                <w:b w:val="0"/>
                <w:sz w:val="18"/>
              </w:rPr>
              <w:t>IL-18</w:t>
            </w:r>
          </w:p>
        </w:tc>
        <w:tc>
          <w:tcPr>
            <w:tcW w:type="dxa" w:w="3240"/>
            <w:vAlign w:val="top"/>
          </w:tcPr>
          <w:p>
            <w:pPr>
              <w:spacing w:after="0"/>
            </w:pPr>
            <w:r/>
            <w:r>
              <w:rPr>
                <w:rFonts w:ascii="Microsoft YaHei" w:hAnsi="Microsoft YaHei" w:eastAsia="微软雅黑"/>
                <w:b w:val="0"/>
                <w:sz w:val="18"/>
              </w:rPr>
              <w:t>研究主题：特拉唑嗪通过脑缺血再灌注损伤中的线粒体自噬调节线粒体 ROS/NLRP3 炎性体轴，从而减轻神经元焦亡。摘要要点：脑缺血再灌注损伤（CI/RI）是缺血性中风后继发性神经元损伤的主要原因。（详见网站明细）</w:t>
            </w:r>
          </w:p>
        </w:tc>
      </w:tr>
      <w:tr>
        <w:tc>
          <w:tcPr>
            <w:tcW w:type="dxa" w:w="1152"/>
            <w:vAlign w:val="top"/>
          </w:tcPr>
          <w:p>
            <w:pPr>
              <w:spacing w:after="0"/>
            </w:pPr>
            <w:r/>
            <w:r>
              <w:rPr>
                <w:rFonts w:ascii="Microsoft YaHei" w:hAnsi="Microsoft YaHei" w:eastAsia="微软雅黑"/>
                <w:b w:val="0"/>
                <w:sz w:val="18"/>
              </w:rPr>
              <w:t>2026-06-22</w:t>
            </w:r>
          </w:p>
        </w:tc>
        <w:tc>
          <w:tcPr>
            <w:tcW w:type="dxa" w:w="1296"/>
            <w:vAlign w:val="top"/>
          </w:tcPr>
          <w:p>
            <w:pPr>
              <w:spacing w:after="0"/>
            </w:pPr>
            <w:r/>
            <w:r>
              <w:rPr>
                <w:rFonts w:ascii="Microsoft YaHei" w:hAnsi="Microsoft YaHei" w:eastAsia="微软雅黑"/>
                <w:b w:val="0"/>
                <w:sz w:val="18"/>
              </w:rPr>
              <w:t>微信公众号</w:t>
            </w:r>
          </w:p>
        </w:tc>
        <w:tc>
          <w:tcPr>
            <w:tcW w:type="dxa" w:w="936"/>
            <w:vAlign w:val="top"/>
          </w:tcPr>
          <w:p>
            <w:pPr>
              <w:spacing w:after="0"/>
            </w:pPr>
            <w:r/>
            <w:r>
              <w:rPr>
                <w:rFonts w:ascii="Microsoft YaHei" w:hAnsi="Microsoft YaHei" w:eastAsia="微软雅黑"/>
                <w:b w:val="0"/>
                <w:sz w:val="18"/>
              </w:rPr>
              <w:t>非会议</w:t>
            </w:r>
          </w:p>
        </w:tc>
        <w:tc>
          <w:tcPr>
            <w:tcW w:type="dxa" w:w="2160"/>
            <w:vAlign w:val="top"/>
          </w:tcPr>
          <w:p>
            <w:pPr>
              <w:spacing w:after="0"/>
            </w:pPr>
            <w:r/>
            <w:r>
              <w:rPr>
                <w:rFonts w:ascii="Microsoft YaHei" w:hAnsi="Microsoft YaHei" w:eastAsia="微软雅黑"/>
                <w:b w:val="0"/>
                <w:sz w:val="18"/>
              </w:rPr>
              <w:t>张澄 / 山东大学齐鲁医院</w:t>
            </w:r>
          </w:p>
        </w:tc>
        <w:tc>
          <w:tcPr>
            <w:tcW w:type="dxa" w:w="2592"/>
            <w:vAlign w:val="top"/>
          </w:tcPr>
          <w:p>
            <w:pPr>
              <w:spacing w:after="0"/>
            </w:pPr>
            <w:r/>
            <w:r>
              <w:rPr>
                <w:rFonts w:ascii="Microsoft YaHei" w:hAnsi="Microsoft YaHei" w:eastAsia="微软雅黑"/>
                <w:b w:val="0"/>
                <w:sz w:val="18"/>
              </w:rPr>
              <w:t>齐鲁医院全国重点实验室研究成果再登心血管顶刊Circulation</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专家相关内容：同时，该实验室钟明教授、王志浩教授、张文程教授、张澄教授和杨建民教授等研究团队发现了成纤维细胞来源的CCN1调控糖尿病性心肌病（DCM）进程的分子通路、ZFP36通过调控平滑肌细胞表型转换抑制腹主动脉瘤（AAA）的进展以及内皮细胞连接黏附分子样蛋白（JAML）在动脉粥样硬化（AS）中的（详见网站明细）</w:t>
            </w:r>
          </w:p>
        </w:tc>
      </w:tr>
      <w:tr>
        <w:tc>
          <w:tcPr>
            <w:tcW w:type="dxa" w:w="1152"/>
            <w:vAlign w:val="top"/>
          </w:tcPr>
          <w:p>
            <w:pPr>
              <w:spacing w:after="0"/>
            </w:pPr>
            <w:r/>
            <w:r>
              <w:rPr>
                <w:rFonts w:ascii="Microsoft YaHei" w:hAnsi="Microsoft YaHei" w:eastAsia="微软雅黑"/>
                <w:b w:val="0"/>
                <w:sz w:val="18"/>
              </w:rPr>
              <w:t>2026-06-22</w:t>
            </w:r>
          </w:p>
        </w:tc>
        <w:tc>
          <w:tcPr>
            <w:tcW w:type="dxa" w:w="1296"/>
            <w:vAlign w:val="top"/>
          </w:tcPr>
          <w:p>
            <w:pPr>
              <w:spacing w:after="0"/>
            </w:pPr>
            <w:r/>
            <w:r>
              <w:rPr>
                <w:rFonts w:ascii="Microsoft YaHei" w:hAnsi="Microsoft YaHei" w:eastAsia="微软雅黑"/>
                <w:b w:val="0"/>
                <w:sz w:val="18"/>
              </w:rPr>
              <w:t>微信公众号</w:t>
            </w:r>
          </w:p>
        </w:tc>
        <w:tc>
          <w:tcPr>
            <w:tcW w:type="dxa" w:w="936"/>
            <w:vAlign w:val="top"/>
          </w:tcPr>
          <w:p>
            <w:pPr>
              <w:spacing w:after="0"/>
            </w:pPr>
            <w:r/>
            <w:r>
              <w:rPr>
                <w:rFonts w:ascii="Microsoft YaHei" w:hAnsi="Microsoft YaHei" w:eastAsia="微软雅黑"/>
                <w:b w:val="0"/>
                <w:sz w:val="18"/>
              </w:rPr>
              <w:t>非会议</w:t>
            </w:r>
          </w:p>
        </w:tc>
        <w:tc>
          <w:tcPr>
            <w:tcW w:type="dxa" w:w="2160"/>
            <w:vAlign w:val="top"/>
          </w:tcPr>
          <w:p>
            <w:pPr>
              <w:spacing w:after="0"/>
            </w:pPr>
            <w:r/>
            <w:r>
              <w:rPr>
                <w:rFonts w:ascii="Microsoft YaHei" w:hAnsi="Microsoft YaHei" w:eastAsia="微软雅黑"/>
                <w:b w:val="0"/>
                <w:sz w:val="18"/>
              </w:rPr>
              <w:t>王建安 / 浙江大学医学院附属第二医院</w:t>
            </w:r>
          </w:p>
        </w:tc>
        <w:tc>
          <w:tcPr>
            <w:tcW w:type="dxa" w:w="2592"/>
            <w:vAlign w:val="top"/>
          </w:tcPr>
          <w:p>
            <w:pPr>
              <w:spacing w:after="0"/>
            </w:pPr>
            <w:r/>
            <w:r>
              <w:rPr>
                <w:rFonts w:ascii="Microsoft YaHei" w:hAnsi="Microsoft YaHei" w:eastAsia="微软雅黑"/>
                <w:b w:val="0"/>
                <w:sz w:val="18"/>
              </w:rPr>
              <w:t>全国首批 | 浙大二院王建安教授团队圆满完成国家创新产品 Nordica 新一代冷冻消融系统临床应用</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专家相关内容：他指出，该系统的顺应性可变直径球囊在肺静脉贴靠与封堵方面表现优异，操作流程简便，单球囊单次冷冻消融即可实现满意的肺静脉隔离与前庭扩大</w:t>
            </w:r>
          </w:p>
        </w:tc>
      </w:tr>
      <w:tr>
        <w:tc>
          <w:tcPr>
            <w:tcW w:type="dxa" w:w="1152"/>
            <w:vAlign w:val="top"/>
          </w:tcPr>
          <w:p>
            <w:pPr>
              <w:spacing w:after="0"/>
            </w:pPr>
            <w:r/>
            <w:r>
              <w:rPr>
                <w:rFonts w:ascii="Microsoft YaHei" w:hAnsi="Microsoft YaHei" w:eastAsia="微软雅黑"/>
                <w:b w:val="0"/>
                <w:sz w:val="18"/>
              </w:rPr>
              <w:t>2026-06-22</w:t>
            </w:r>
          </w:p>
        </w:tc>
        <w:tc>
          <w:tcPr>
            <w:tcW w:type="dxa" w:w="1296"/>
            <w:vAlign w:val="top"/>
          </w:tcPr>
          <w:p>
            <w:pPr>
              <w:spacing w:after="0"/>
            </w:pPr>
            <w:r/>
            <w:r>
              <w:rPr>
                <w:rFonts w:ascii="Microsoft YaHei" w:hAnsi="Microsoft YaHei" w:eastAsia="微软雅黑"/>
                <w:b w:val="0"/>
                <w:sz w:val="18"/>
              </w:rPr>
              <w:t>微信公众号</w:t>
            </w:r>
          </w:p>
        </w:tc>
        <w:tc>
          <w:tcPr>
            <w:tcW w:type="dxa" w:w="936"/>
            <w:vAlign w:val="top"/>
          </w:tcPr>
          <w:p>
            <w:pPr>
              <w:spacing w:after="0"/>
            </w:pPr>
            <w:r/>
            <w:r>
              <w:rPr>
                <w:rFonts w:ascii="Microsoft YaHei" w:hAnsi="Microsoft YaHei" w:eastAsia="微软雅黑"/>
                <w:b w:val="0"/>
                <w:sz w:val="18"/>
              </w:rPr>
              <w:t>非会议</w:t>
            </w:r>
          </w:p>
        </w:tc>
        <w:tc>
          <w:tcPr>
            <w:tcW w:type="dxa" w:w="2160"/>
            <w:vAlign w:val="top"/>
          </w:tcPr>
          <w:p>
            <w:pPr>
              <w:spacing w:after="0"/>
            </w:pPr>
            <w:r/>
            <w:r>
              <w:rPr>
                <w:rFonts w:ascii="Microsoft YaHei" w:hAnsi="Microsoft YaHei" w:eastAsia="微软雅黑"/>
                <w:b w:val="0"/>
                <w:sz w:val="18"/>
              </w:rPr>
              <w:t>郭远林 / 中国医学科学院阜外医院</w:t>
            </w:r>
          </w:p>
        </w:tc>
        <w:tc>
          <w:tcPr>
            <w:tcW w:type="dxa" w:w="2592"/>
            <w:vAlign w:val="top"/>
          </w:tcPr>
          <w:p>
            <w:pPr>
              <w:spacing w:after="0"/>
            </w:pPr>
            <w:r/>
            <w:r>
              <w:rPr>
                <w:rFonts w:ascii="Microsoft YaHei" w:hAnsi="Microsoft YaHei" w:eastAsia="微软雅黑"/>
                <w:b w:val="0"/>
                <w:sz w:val="18"/>
              </w:rPr>
              <w:t>【指南与共识】非HDL-C与心血管疾病风险关系及临床管理专家共识</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专家相关内容：执笔专家 郭远林（中国医学科学院阜外医院），彭道泉（中南大学湘雅二院），陈桢玥（上海交通大学附属瑞金医院） 专家组成员 （按姓氏拼音排序） 专家组成员 （按姓氏拼音排序） 陈红（北京大学人民医院），陈桢玥（上海交通大学附属瑞金医院），郭远林（中国医学科学院阜外医院），（详见网站明细）</w:t>
            </w:r>
          </w:p>
        </w:tc>
      </w:tr>
      <w:tr>
        <w:tc>
          <w:tcPr>
            <w:tcW w:type="dxa" w:w="1152"/>
            <w:vAlign w:val="top"/>
          </w:tcPr>
          <w:p>
            <w:pPr>
              <w:spacing w:after="0"/>
            </w:pPr>
            <w:r/>
            <w:r>
              <w:rPr>
                <w:rFonts w:ascii="Microsoft YaHei" w:hAnsi="Microsoft YaHei" w:eastAsia="微软雅黑"/>
                <w:b w:val="0"/>
                <w:sz w:val="18"/>
              </w:rPr>
              <w:t>2026-06-22</w:t>
            </w:r>
          </w:p>
        </w:tc>
        <w:tc>
          <w:tcPr>
            <w:tcW w:type="dxa" w:w="1296"/>
            <w:vAlign w:val="top"/>
          </w:tcPr>
          <w:p>
            <w:pPr>
              <w:spacing w:after="0"/>
            </w:pPr>
            <w:r/>
            <w:r>
              <w:rPr>
                <w:rFonts w:ascii="Microsoft YaHei" w:hAnsi="Microsoft YaHei" w:eastAsia="微软雅黑"/>
                <w:b w:val="0"/>
                <w:sz w:val="18"/>
              </w:rPr>
              <w:t>微信公众号</w:t>
            </w:r>
          </w:p>
        </w:tc>
        <w:tc>
          <w:tcPr>
            <w:tcW w:type="dxa" w:w="936"/>
            <w:vAlign w:val="top"/>
          </w:tcPr>
          <w:p>
            <w:pPr>
              <w:spacing w:after="0"/>
            </w:pPr>
            <w:r/>
            <w:r>
              <w:rPr>
                <w:rFonts w:ascii="Microsoft YaHei" w:hAnsi="Microsoft YaHei" w:eastAsia="微软雅黑"/>
                <w:b w:val="0"/>
                <w:sz w:val="18"/>
              </w:rPr>
              <w:t>会议</w:t>
            </w:r>
          </w:p>
        </w:tc>
        <w:tc>
          <w:tcPr>
            <w:tcW w:type="dxa" w:w="2160"/>
            <w:vAlign w:val="top"/>
          </w:tcPr>
          <w:p>
            <w:pPr>
              <w:spacing w:after="0"/>
            </w:pPr>
            <w:r/>
            <w:r>
              <w:rPr>
                <w:rFonts w:ascii="Microsoft YaHei" w:hAnsi="Microsoft YaHei" w:eastAsia="微软雅黑"/>
                <w:b w:val="0"/>
                <w:sz w:val="18"/>
              </w:rPr>
              <w:t>丛洪良 / 天津市胸科医院</w:t>
            </w:r>
          </w:p>
        </w:tc>
        <w:tc>
          <w:tcPr>
            <w:tcW w:type="dxa" w:w="2592"/>
            <w:vAlign w:val="top"/>
          </w:tcPr>
          <w:p>
            <w:pPr>
              <w:spacing w:after="0"/>
            </w:pPr>
            <w:r/>
            <w:r>
              <w:rPr>
                <w:rFonts w:ascii="Microsoft YaHei" w:hAnsi="Microsoft YaHei" w:eastAsia="微软雅黑"/>
                <w:b w:val="0"/>
                <w:sz w:val="18"/>
              </w:rPr>
              <w:t>OCC 2026 | 丛洪良教授：美托洛尔、比索洛尔、阿替洛尔一文了解β受体阻滞剂的规范使用</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会议报道；专家角色：分享、介绍。讲题/主题：《美托洛尔、比索洛尔、阿替洛尔一文了解β受体阻滞剂的规范使用 OCC 2026》。相关内容：在第二十届东方心脏病学会议（OCC 2026）召开期间，医会宝特邀 天津市胸科医院丛洪良教授 进行深度专访，就 β受体阻滞剂 话题分享真知灼见。（详见网站明细）</w:t>
            </w:r>
          </w:p>
        </w:tc>
      </w:tr>
      <w:tr>
        <w:tc>
          <w:tcPr>
            <w:tcW w:type="dxa" w:w="1152"/>
            <w:vAlign w:val="top"/>
          </w:tcPr>
          <w:p>
            <w:pPr>
              <w:spacing w:after="0"/>
            </w:pPr>
            <w:r/>
            <w:r>
              <w:rPr>
                <w:rFonts w:ascii="Microsoft YaHei" w:hAnsi="Microsoft YaHei" w:eastAsia="微软雅黑"/>
                <w:b w:val="0"/>
                <w:sz w:val="18"/>
              </w:rPr>
              <w:t>2026-06-22</w:t>
            </w:r>
          </w:p>
        </w:tc>
        <w:tc>
          <w:tcPr>
            <w:tcW w:type="dxa" w:w="1296"/>
            <w:vAlign w:val="top"/>
          </w:tcPr>
          <w:p>
            <w:pPr>
              <w:spacing w:after="0"/>
            </w:pPr>
            <w:r/>
            <w:r>
              <w:rPr>
                <w:rFonts w:ascii="Microsoft YaHei" w:hAnsi="Microsoft YaHei" w:eastAsia="微软雅黑"/>
                <w:b w:val="0"/>
                <w:sz w:val="18"/>
              </w:rPr>
              <w:t>微信公众号</w:t>
            </w:r>
          </w:p>
        </w:tc>
        <w:tc>
          <w:tcPr>
            <w:tcW w:type="dxa" w:w="936"/>
            <w:vAlign w:val="top"/>
          </w:tcPr>
          <w:p>
            <w:pPr>
              <w:spacing w:after="0"/>
            </w:pPr>
            <w:r/>
            <w:r>
              <w:rPr>
                <w:rFonts w:ascii="Microsoft YaHei" w:hAnsi="Microsoft YaHei" w:eastAsia="微软雅黑"/>
                <w:b w:val="0"/>
                <w:sz w:val="18"/>
              </w:rPr>
              <w:t>非会议</w:t>
            </w:r>
          </w:p>
        </w:tc>
        <w:tc>
          <w:tcPr>
            <w:tcW w:type="dxa" w:w="2160"/>
            <w:vAlign w:val="top"/>
          </w:tcPr>
          <w:p>
            <w:pPr>
              <w:spacing w:after="0"/>
            </w:pPr>
            <w:r/>
            <w:r>
              <w:rPr>
                <w:rFonts w:ascii="Microsoft YaHei" w:hAnsi="Microsoft YaHei" w:eastAsia="微软雅黑"/>
                <w:b w:val="0"/>
                <w:sz w:val="18"/>
              </w:rPr>
              <w:t>刘军 / 上海交通大学医学院附属瑞金医院</w:t>
            </w:r>
          </w:p>
        </w:tc>
        <w:tc>
          <w:tcPr>
            <w:tcW w:type="dxa" w:w="2592"/>
            <w:vAlign w:val="top"/>
          </w:tcPr>
          <w:p>
            <w:pPr>
              <w:spacing w:after="0"/>
            </w:pPr>
            <w:r/>
            <w:r>
              <w:rPr>
                <w:rFonts w:ascii="Microsoft YaHei" w:hAnsi="Microsoft YaHei" w:eastAsia="微软雅黑"/>
                <w:b w:val="0"/>
                <w:sz w:val="18"/>
              </w:rPr>
              <w:t>瑞金医院发表帕金森病治疗新突破：让大脑重新“制造”多巴胺</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专家相关内容：2026年6月，刘军教授在《Nature Medicine》【IF50，Q1】杂志发表题为“Dual-target gene therapy in Parkinson’s disease: a multicenter phase 1 trial”——帕金森病的双靶点基因治疗：一项</w:t>
            </w:r>
          </w:p>
        </w:tc>
      </w:tr>
      <w:tr>
        <w:tc>
          <w:tcPr>
            <w:tcW w:type="dxa" w:w="1152"/>
            <w:vAlign w:val="top"/>
          </w:tcPr>
          <w:p>
            <w:pPr>
              <w:spacing w:after="0"/>
            </w:pPr>
            <w:r/>
            <w:r>
              <w:rPr>
                <w:rFonts w:ascii="Microsoft YaHei" w:hAnsi="Microsoft YaHei" w:eastAsia="微软雅黑"/>
                <w:b w:val="0"/>
                <w:sz w:val="18"/>
              </w:rPr>
              <w:t>2026-06-21</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杨毅宁 / 新疆维吾尔自治区人民医院</w:t>
            </w:r>
          </w:p>
        </w:tc>
        <w:tc>
          <w:tcPr>
            <w:tcW w:type="dxa" w:w="2592"/>
            <w:vAlign w:val="top"/>
          </w:tcPr>
          <w:p>
            <w:pPr>
              <w:spacing w:after="0"/>
            </w:pPr>
            <w:r/>
            <w:r>
              <w:rPr>
                <w:rFonts w:ascii="Microsoft YaHei" w:hAnsi="Microsoft YaHei" w:eastAsia="微软雅黑"/>
                <w:b w:val="0"/>
                <w:sz w:val="18"/>
              </w:rPr>
              <w:t>室性早搏的起源和频率对心脏重塑的影响：系统评价和荟萃分析。</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研究主题：室性早搏的起源和频率对心脏重塑的影响：系统评价和荟萃分析。摘要要点：背景：频繁的室性早搏（PVC）与不良心脏重塑有关。然而，PVC 频率和解剖起源的相对贡献仍不清楚。本研究评估了 PVC 负荷和起源对心脏结构和功能变化的影响。方法：根据 PRISMA 指南进行系统评价和荟萃分析。（详见网站明细）</w:t>
            </w:r>
          </w:p>
        </w:tc>
      </w:tr>
      <w:tr>
        <w:tc>
          <w:tcPr>
            <w:tcW w:type="dxa" w:w="1152"/>
            <w:vAlign w:val="top"/>
          </w:tcPr>
          <w:p>
            <w:pPr>
              <w:spacing w:after="0"/>
            </w:pPr>
            <w:r/>
            <w:r>
              <w:rPr>
                <w:rFonts w:ascii="Microsoft YaHei" w:hAnsi="Microsoft YaHei" w:eastAsia="微软雅黑"/>
                <w:b w:val="0"/>
                <w:sz w:val="18"/>
              </w:rPr>
              <w:t>2026-06-20</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徐运 / 南京鼓楼医院</w:t>
            </w:r>
          </w:p>
        </w:tc>
        <w:tc>
          <w:tcPr>
            <w:tcW w:type="dxa" w:w="2592"/>
            <w:vAlign w:val="top"/>
          </w:tcPr>
          <w:p>
            <w:pPr>
              <w:spacing w:after="0"/>
            </w:pPr>
            <w:r/>
            <w:r>
              <w:rPr>
                <w:rFonts w:ascii="Microsoft YaHei" w:hAnsi="Microsoft YaHei" w:eastAsia="微软雅黑"/>
                <w:b w:val="0"/>
                <w:sz w:val="18"/>
              </w:rPr>
              <w:t>Raly 的抑制可促进慢性低灌注后少突胶质细胞前体细胞的分化和髓鞘再生。</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研究主题：Raly 的抑制可促进慢性低灌注后少突胶质细胞前体细胞的分化和髓鞘再生。摘要要点：异质核核糖核蛋白相关蛋白Raly在真核神经细胞的细胞增殖和代谢调节中发挥作用。然而，Raly 在少突胶质细胞谱系进展中的生物学意义此前尚未被探索过。（详见网站明细）</w:t>
            </w:r>
          </w:p>
        </w:tc>
      </w:tr>
      <w:tr>
        <w:tc>
          <w:tcPr>
            <w:tcW w:type="dxa" w:w="1152"/>
            <w:vAlign w:val="top"/>
          </w:tcPr>
          <w:p>
            <w:pPr>
              <w:spacing w:after="0"/>
            </w:pPr>
            <w:r/>
            <w:r>
              <w:rPr>
                <w:rFonts w:ascii="Microsoft YaHei" w:hAnsi="Microsoft YaHei" w:eastAsia="微软雅黑"/>
                <w:b w:val="0"/>
                <w:sz w:val="18"/>
              </w:rPr>
              <w:t>2026-06-19</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王拥军 / 首都医科大学附属北京天坛医院</w:t>
            </w:r>
          </w:p>
        </w:tc>
        <w:tc>
          <w:tcPr>
            <w:tcW w:type="dxa" w:w="2592"/>
            <w:vAlign w:val="top"/>
          </w:tcPr>
          <w:p>
            <w:pPr>
              <w:spacing w:after="0"/>
            </w:pPr>
            <w:r/>
            <w:r>
              <w:rPr>
                <w:rFonts w:ascii="Microsoft YaHei" w:hAnsi="Microsoft YaHei" w:eastAsia="微软雅黑"/>
                <w:b w:val="0"/>
                <w:sz w:val="18"/>
              </w:rPr>
              <w:t>中风后认知障碍中白质功能连接中断：静息态功能磁共振成像的见解。</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研究主题：中风后认知障碍中白质功能连接中断：静息态功能磁共振成像的见解。摘要要点：中风后认知障碍（PSCI）显着影响中风患者的生活质量。它对白质功能网络的影响仍不清楚。这项研究使用静息态功能 MRI 来检查这种情况下白质功能连接和自发活动的变化。（详见网站明细）</w:t>
            </w:r>
          </w:p>
        </w:tc>
      </w:tr>
    </w:tbl>
    <w:p>
      <w:pPr>
        <w:pStyle w:val="Heading1"/>
      </w:pPr>
      <w:r>
        <w:t>五、涉及分子/靶点</w:t>
      </w:r>
    </w:p>
    <w:tbl>
      <w:tblPr>
        <w:tblStyle w:val="TableGrid"/>
        <w:tblW w:type="auto" w:w="0"/>
        <w:jc w:val="center"/>
        <w:tblLook w:firstColumn="1" w:firstRow="1" w:lastColumn="0" w:lastRow="0" w:noHBand="0" w:noVBand="1" w:val="04A0"/>
      </w:tblPr>
      <w:tblGrid>
        <w:gridCol w:w="5184"/>
        <w:gridCol w:w="5184"/>
      </w:tblGrid>
      <w:tr>
        <w:tc>
          <w:tcPr>
            <w:tcW w:type="dxa" w:w="7920"/>
            <w:vAlign w:val="top"/>
            <w:shd w:fill="0F766D"/>
          </w:tcPr>
          <w:p>
            <w:pPr>
              <w:spacing w:after="0"/>
            </w:pPr>
            <w:r/>
            <w:r>
              <w:rPr>
                <w:rFonts w:ascii="Microsoft YaHei" w:hAnsi="Microsoft YaHei" w:eastAsia="微软雅黑"/>
                <w:b/>
                <w:color w:val="FFFFFF"/>
                <w:sz w:val="18"/>
              </w:rPr>
              <w:t>分子/靶点/通用名</w:t>
            </w:r>
          </w:p>
        </w:tc>
        <w:tc>
          <w:tcPr>
            <w:tcW w:type="dxa" w:w="1584"/>
            <w:vAlign w:val="top"/>
            <w:shd w:fill="0F766D"/>
          </w:tcPr>
          <w:p>
            <w:pPr>
              <w:spacing w:after="0"/>
            </w:pPr>
            <w:r/>
            <w:r>
              <w:rPr>
                <w:rFonts w:ascii="Microsoft YaHei" w:hAnsi="Microsoft YaHei" w:eastAsia="微软雅黑"/>
                <w:b/>
                <w:color w:val="FFFFFF"/>
                <w:sz w:val="18"/>
              </w:rPr>
              <w:t>出现次数</w:t>
            </w:r>
          </w:p>
        </w:tc>
      </w:tr>
      <w:tr>
        <w:tc>
          <w:tcPr>
            <w:tcW w:type="dxa" w:w="7920"/>
            <w:vAlign w:val="top"/>
          </w:tcPr>
          <w:p>
            <w:pPr>
              <w:spacing w:after="0"/>
            </w:pPr>
            <w:r/>
            <w:r>
              <w:rPr>
                <w:rFonts w:ascii="Microsoft YaHei" w:hAnsi="Microsoft YaHei" w:eastAsia="微软雅黑"/>
                <w:b w:val="0"/>
                <w:sz w:val="18"/>
              </w:rPr>
              <w:t>Atorvastatin calcium / C66H68CaF2N4O10</w:t>
            </w:r>
          </w:p>
        </w:tc>
        <w:tc>
          <w:tcPr>
            <w:tcW w:type="dxa" w:w="1584"/>
            <w:vAlign w:val="top"/>
          </w:tcPr>
          <w:p>
            <w:pPr>
              <w:spacing w:after="0"/>
            </w:pPr>
            <w:r/>
            <w:r>
              <w:rPr>
                <w:rFonts w:ascii="Microsoft YaHei" w:hAnsi="Microsoft YaHei" w:eastAsia="微软雅黑"/>
                <w:b w:val="0"/>
                <w:sz w:val="18"/>
              </w:rPr>
              <w:t>79</w:t>
            </w:r>
          </w:p>
        </w:tc>
      </w:tr>
      <w:tr>
        <w:tc>
          <w:tcPr>
            <w:tcW w:type="dxa" w:w="7920"/>
            <w:vAlign w:val="top"/>
          </w:tcPr>
          <w:p>
            <w:pPr>
              <w:spacing w:after="0"/>
            </w:pPr>
            <w:r/>
            <w:r>
              <w:rPr>
                <w:rFonts w:ascii="Microsoft YaHei" w:hAnsi="Microsoft YaHei" w:eastAsia="微软雅黑"/>
                <w:b w:val="0"/>
                <w:sz w:val="18"/>
              </w:rPr>
              <w:t>瑞舒伐他汀钙 / rosuvastatin calcium / C44H54CaF2N6O12S2</w:t>
            </w:r>
          </w:p>
        </w:tc>
        <w:tc>
          <w:tcPr>
            <w:tcW w:type="dxa" w:w="1584"/>
            <w:vAlign w:val="top"/>
          </w:tcPr>
          <w:p>
            <w:pPr>
              <w:spacing w:after="0"/>
            </w:pPr>
            <w:r/>
            <w:r>
              <w:rPr>
                <w:rFonts w:ascii="Microsoft YaHei" w:hAnsi="Microsoft YaHei" w:eastAsia="微软雅黑"/>
                <w:b w:val="0"/>
                <w:sz w:val="18"/>
              </w:rPr>
              <w:t>13</w:t>
            </w:r>
          </w:p>
        </w:tc>
      </w:tr>
      <w:tr>
        <w:tc>
          <w:tcPr>
            <w:tcW w:type="dxa" w:w="7920"/>
            <w:vAlign w:val="top"/>
          </w:tcPr>
          <w:p>
            <w:pPr>
              <w:spacing w:after="0"/>
            </w:pPr>
            <w:r/>
            <w:r>
              <w:rPr>
                <w:rFonts w:ascii="Microsoft YaHei" w:hAnsi="Microsoft YaHei" w:eastAsia="微软雅黑"/>
                <w:b w:val="0"/>
                <w:sz w:val="18"/>
              </w:rPr>
              <w:t>阿托伐他汀钙 / atorvastatin calcium / C66H68CaF2N4O10</w:t>
            </w:r>
          </w:p>
        </w:tc>
        <w:tc>
          <w:tcPr>
            <w:tcW w:type="dxa" w:w="1584"/>
            <w:vAlign w:val="top"/>
          </w:tcPr>
          <w:p>
            <w:pPr>
              <w:spacing w:after="0"/>
            </w:pPr>
            <w:r/>
            <w:r>
              <w:rPr>
                <w:rFonts w:ascii="Microsoft YaHei" w:hAnsi="Microsoft YaHei" w:eastAsia="微软雅黑"/>
                <w:b w:val="0"/>
                <w:sz w:val="18"/>
              </w:rPr>
              <w:t>10</w:t>
            </w:r>
          </w:p>
        </w:tc>
      </w:tr>
      <w:tr>
        <w:tc>
          <w:tcPr>
            <w:tcW w:type="dxa" w:w="7920"/>
            <w:vAlign w:val="top"/>
          </w:tcPr>
          <w:p>
            <w:pPr>
              <w:spacing w:after="0"/>
            </w:pPr>
            <w:r/>
            <w:r>
              <w:rPr>
                <w:rFonts w:ascii="Microsoft YaHei" w:hAnsi="Microsoft YaHei" w:eastAsia="微软雅黑"/>
                <w:b w:val="0"/>
                <w:sz w:val="18"/>
              </w:rPr>
              <w:t>分子量和糖基化等取决于序列与生产工艺</w:t>
            </w:r>
          </w:p>
        </w:tc>
        <w:tc>
          <w:tcPr>
            <w:tcW w:type="dxa" w:w="1584"/>
            <w:vAlign w:val="top"/>
          </w:tcPr>
          <w:p>
            <w:pPr>
              <w:spacing w:after="0"/>
            </w:pPr>
            <w:r/>
            <w:r>
              <w:rPr>
                <w:rFonts w:ascii="Microsoft YaHei" w:hAnsi="Microsoft YaHei" w:eastAsia="微软雅黑"/>
                <w:b w:val="0"/>
                <w:sz w:val="18"/>
              </w:rPr>
              <w:t>10</w:t>
            </w:r>
          </w:p>
        </w:tc>
      </w:tr>
      <w:tr>
        <w:tc>
          <w:tcPr>
            <w:tcW w:type="dxa" w:w="7920"/>
            <w:vAlign w:val="top"/>
          </w:tcPr>
          <w:p>
            <w:pPr>
              <w:spacing w:after="0"/>
            </w:pPr>
            <w:r/>
            <w:r>
              <w:rPr>
                <w:rFonts w:ascii="Microsoft YaHei" w:hAnsi="Microsoft YaHei" w:eastAsia="微软雅黑"/>
                <w:b w:val="0"/>
                <w:sz w:val="18"/>
              </w:rPr>
              <w:t>修饰和盐型确认分子式</w:t>
            </w:r>
          </w:p>
        </w:tc>
        <w:tc>
          <w:tcPr>
            <w:tcW w:type="dxa" w:w="1584"/>
            <w:vAlign w:val="top"/>
          </w:tcPr>
          <w:p>
            <w:pPr>
              <w:spacing w:after="0"/>
            </w:pPr>
            <w:r/>
            <w:r>
              <w:rPr>
                <w:rFonts w:ascii="Microsoft YaHei" w:hAnsi="Microsoft YaHei" w:eastAsia="微软雅黑"/>
                <w:b w:val="0"/>
                <w:sz w:val="18"/>
              </w:rPr>
              <w:t>9</w:t>
            </w:r>
          </w:p>
        </w:tc>
      </w:tr>
      <w:tr>
        <w:tc>
          <w:tcPr>
            <w:tcW w:type="dxa" w:w="7920"/>
            <w:vAlign w:val="top"/>
          </w:tcPr>
          <w:p>
            <w:pPr>
              <w:spacing w:after="0"/>
            </w:pPr>
            <w:r/>
            <w:r>
              <w:rPr>
                <w:rFonts w:ascii="Microsoft YaHei" w:hAnsi="Microsoft YaHei" w:eastAsia="微软雅黑"/>
                <w:b w:val="0"/>
                <w:sz w:val="18"/>
              </w:rPr>
              <w:t>依折麦布 / ezetimibe / C24H21F2NO3</w:t>
            </w:r>
          </w:p>
        </w:tc>
        <w:tc>
          <w:tcPr>
            <w:tcW w:type="dxa" w:w="1584"/>
            <w:vAlign w:val="top"/>
          </w:tcPr>
          <w:p>
            <w:pPr>
              <w:spacing w:after="0"/>
            </w:pPr>
            <w:r/>
            <w:r>
              <w:rPr>
                <w:rFonts w:ascii="Microsoft YaHei" w:hAnsi="Microsoft YaHei" w:eastAsia="微软雅黑"/>
                <w:b w:val="0"/>
                <w:sz w:val="18"/>
              </w:rPr>
              <w:t>9</w:t>
            </w:r>
          </w:p>
        </w:tc>
      </w:tr>
      <w:tr>
        <w:tc>
          <w:tcPr>
            <w:tcW w:type="dxa" w:w="7920"/>
            <w:vAlign w:val="top"/>
          </w:tcPr>
          <w:p>
            <w:pPr>
              <w:spacing w:after="0"/>
            </w:pPr>
            <w:r/>
            <w:r>
              <w:rPr>
                <w:rFonts w:ascii="Microsoft YaHei" w:hAnsi="Microsoft YaHei" w:eastAsia="微软雅黑"/>
                <w:b w:val="0"/>
                <w:sz w:val="18"/>
              </w:rPr>
              <w:t>匹伐他汀钙 / pitavastatin calcium / C50H46CaF2N2O8</w:t>
            </w:r>
          </w:p>
        </w:tc>
        <w:tc>
          <w:tcPr>
            <w:tcW w:type="dxa" w:w="1584"/>
            <w:vAlign w:val="top"/>
          </w:tcPr>
          <w:p>
            <w:pPr>
              <w:spacing w:after="0"/>
            </w:pPr>
            <w:r/>
            <w:r>
              <w:rPr>
                <w:rFonts w:ascii="Microsoft YaHei" w:hAnsi="Microsoft YaHei" w:eastAsia="微软雅黑"/>
                <w:b w:val="0"/>
                <w:sz w:val="18"/>
              </w:rPr>
              <w:t>6</w:t>
            </w:r>
          </w:p>
        </w:tc>
      </w:tr>
      <w:tr>
        <w:tc>
          <w:tcPr>
            <w:tcW w:type="dxa" w:w="7920"/>
            <w:vAlign w:val="top"/>
          </w:tcPr>
          <w:p>
            <w:pPr>
              <w:spacing w:after="0"/>
            </w:pPr>
            <w:r/>
            <w:r>
              <w:rPr>
                <w:rFonts w:ascii="Microsoft YaHei" w:hAnsi="Microsoft YaHei" w:eastAsia="微软雅黑"/>
                <w:b w:val="0"/>
                <w:sz w:val="18"/>
              </w:rPr>
              <w:t>依洛尤单抗 / evolocumab</w:t>
            </w:r>
          </w:p>
        </w:tc>
        <w:tc>
          <w:tcPr>
            <w:tcW w:type="dxa" w:w="1584"/>
            <w:vAlign w:val="top"/>
          </w:tcPr>
          <w:p>
            <w:pPr>
              <w:spacing w:after="0"/>
            </w:pPr>
            <w:r/>
            <w:r>
              <w:rPr>
                <w:rFonts w:ascii="Microsoft YaHei" w:hAnsi="Microsoft YaHei" w:eastAsia="微软雅黑"/>
                <w:b w:val="0"/>
                <w:sz w:val="18"/>
              </w:rPr>
              <w:t>6</w:t>
            </w:r>
          </w:p>
        </w:tc>
      </w:tr>
      <w:tr>
        <w:tc>
          <w:tcPr>
            <w:tcW w:type="dxa" w:w="7920"/>
            <w:vAlign w:val="top"/>
          </w:tcPr>
          <w:p>
            <w:pPr>
              <w:spacing w:after="0"/>
            </w:pPr>
            <w:r/>
            <w:r>
              <w:rPr>
                <w:rFonts w:ascii="Microsoft YaHei" w:hAnsi="Microsoft YaHei" w:eastAsia="微软雅黑"/>
                <w:b w:val="0"/>
                <w:sz w:val="18"/>
              </w:rPr>
              <w:t>辛伐他汀 / simvastatin / C25H38O5</w:t>
            </w:r>
          </w:p>
        </w:tc>
        <w:tc>
          <w:tcPr>
            <w:tcW w:type="dxa" w:w="1584"/>
            <w:vAlign w:val="top"/>
          </w:tcPr>
          <w:p>
            <w:pPr>
              <w:spacing w:after="0"/>
            </w:pPr>
            <w:r/>
            <w:r>
              <w:rPr>
                <w:rFonts w:ascii="Microsoft YaHei" w:hAnsi="Microsoft YaHei" w:eastAsia="微软雅黑"/>
                <w:b w:val="0"/>
                <w:sz w:val="18"/>
              </w:rPr>
              <w:t>5</w:t>
            </w:r>
          </w:p>
        </w:tc>
      </w:tr>
      <w:tr>
        <w:tc>
          <w:tcPr>
            <w:tcW w:type="dxa" w:w="7920"/>
            <w:vAlign w:val="top"/>
          </w:tcPr>
          <w:p>
            <w:pPr>
              <w:spacing w:after="0"/>
            </w:pPr>
            <w:r/>
            <w:r>
              <w:rPr>
                <w:rFonts w:ascii="Microsoft YaHei" w:hAnsi="Microsoft YaHei" w:eastAsia="微软雅黑"/>
                <w:b w:val="0"/>
                <w:sz w:val="18"/>
              </w:rPr>
              <w:t>瑞卡西单抗 / recaticimab</w:t>
            </w:r>
          </w:p>
        </w:tc>
        <w:tc>
          <w:tcPr>
            <w:tcW w:type="dxa" w:w="1584"/>
            <w:vAlign w:val="top"/>
          </w:tcPr>
          <w:p>
            <w:pPr>
              <w:spacing w:after="0"/>
            </w:pPr>
            <w:r/>
            <w:r>
              <w:rPr>
                <w:rFonts w:ascii="Microsoft YaHei" w:hAnsi="Microsoft YaHei" w:eastAsia="微软雅黑"/>
                <w:b w:val="0"/>
                <w:sz w:val="18"/>
              </w:rPr>
              <w:t>4</w:t>
            </w:r>
          </w:p>
        </w:tc>
      </w:tr>
      <w:tr>
        <w:tc>
          <w:tcPr>
            <w:tcW w:type="dxa" w:w="7920"/>
            <w:vAlign w:val="top"/>
          </w:tcPr>
          <w:p>
            <w:pPr>
              <w:spacing w:after="0"/>
            </w:pPr>
            <w:r/>
            <w:r>
              <w:rPr>
                <w:rFonts w:ascii="Microsoft YaHei" w:hAnsi="Microsoft YaHei" w:eastAsia="微软雅黑"/>
                <w:b w:val="0"/>
                <w:sz w:val="18"/>
              </w:rPr>
              <w:t>普伐他汀钠 / pravastatin sodium / C23H35NaO7</w:t>
            </w:r>
          </w:p>
        </w:tc>
        <w:tc>
          <w:tcPr>
            <w:tcW w:type="dxa" w:w="1584"/>
            <w:vAlign w:val="top"/>
          </w:tcPr>
          <w:p>
            <w:pPr>
              <w:spacing w:after="0"/>
            </w:pPr>
            <w:r/>
            <w:r>
              <w:rPr>
                <w:rFonts w:ascii="Microsoft YaHei" w:hAnsi="Microsoft YaHei" w:eastAsia="微软雅黑"/>
                <w:b w:val="0"/>
                <w:sz w:val="18"/>
              </w:rPr>
              <w:t>2</w:t>
            </w:r>
          </w:p>
        </w:tc>
      </w:tr>
      <w:tr>
        <w:tc>
          <w:tcPr>
            <w:tcW w:type="dxa" w:w="7920"/>
            <w:vAlign w:val="top"/>
          </w:tcPr>
          <w:p>
            <w:pPr>
              <w:spacing w:after="0"/>
            </w:pPr>
            <w:r/>
            <w:r>
              <w:rPr>
                <w:rFonts w:ascii="Microsoft YaHei" w:hAnsi="Microsoft YaHei" w:eastAsia="微软雅黑"/>
                <w:b w:val="0"/>
                <w:sz w:val="18"/>
              </w:rPr>
              <w:t>氟伐他汀钠 / fluvastatin sodium / C24H25FNNaO4</w:t>
            </w:r>
          </w:p>
        </w:tc>
        <w:tc>
          <w:tcPr>
            <w:tcW w:type="dxa" w:w="1584"/>
            <w:vAlign w:val="top"/>
          </w:tcPr>
          <w:p>
            <w:pPr>
              <w:spacing w:after="0"/>
            </w:pPr>
            <w:r/>
            <w:r>
              <w:rPr>
                <w:rFonts w:ascii="Microsoft YaHei" w:hAnsi="Microsoft YaHei" w:eastAsia="微软雅黑"/>
                <w:b w:val="0"/>
                <w:sz w:val="18"/>
              </w:rPr>
              <w:t>2</w:t>
            </w:r>
          </w:p>
        </w:tc>
      </w:tr>
    </w:tbl>
    <w:p>
      <w:pPr>
        <w:pStyle w:val="Heading1"/>
      </w:pPr>
      <w:r>
        <w:t>六、建议跟进</w:t>
      </w:r>
    </w:p>
    <w:p>
      <w:pPr>
        <w:pStyle w:val="ListBullet"/>
      </w:pPr>
      <w:r>
        <w:rPr>
          <w:rFonts w:ascii="Microsoft YaHei" w:hAnsi="Microsoft YaHei" w:eastAsia="微软雅黑"/>
          <w:sz w:val="21"/>
        </w:rPr>
        <w:t>Clinical｜阿托伐他汀钙相关 ClinicalTrials.gov 临床研究更新（NCT06974084）：建议结合研究设计、入排标准、终点和安全性信息判断对本品医学沟通、竞品监测或风险沟通的影响。</w:t>
      </w:r>
    </w:p>
    <w:p>
      <w:pPr>
        <w:pStyle w:val="ListBullet"/>
      </w:pPr>
      <w:r>
        <w:rPr>
          <w:rFonts w:ascii="Microsoft YaHei" w:hAnsi="Microsoft YaHei" w:eastAsia="微软雅黑"/>
          <w:sz w:val="21"/>
        </w:rPr>
        <w:t>Clinical｜瑞舒伐他汀钙相关 ClinicalTrials.gov 临床研究更新（NCT07303816）：建议结合研究设计、入排标准、终点和安全性信息判断对本品医学沟通、竞品监测或风险沟通的影响。</w:t>
      </w:r>
    </w:p>
    <w:p>
      <w:pPr>
        <w:pStyle w:val="ListBullet"/>
      </w:pPr>
      <w:r>
        <w:rPr>
          <w:rFonts w:ascii="Microsoft YaHei" w:hAnsi="Microsoft YaHei" w:eastAsia="微软雅黑"/>
          <w:sz w:val="21"/>
        </w:rPr>
        <w:t>Clinical｜瑞舒伐他汀钙相关 ClinicalTrials.gov 临床研究更新（NCT07216482）：建议结合研究设计、入排标准、终点和安全性信息判断对本品医学沟通、竞品监测或风险沟通的影响。</w:t>
      </w:r>
    </w:p>
    <w:p>
      <w:pPr>
        <w:pStyle w:val="ListBullet"/>
      </w:pPr>
      <w:r>
        <w:rPr>
          <w:rFonts w:ascii="Microsoft YaHei" w:hAnsi="Microsoft YaHei" w:eastAsia="微软雅黑"/>
          <w:sz w:val="21"/>
        </w:rPr>
        <w:t>Clinical｜瑞卡西单抗相关 ClinicalTrials.gov 临床研究更新（NCT06902740）：建议结合研究设计、入排标准、终点和安全性信息判断对本品医学沟通、竞品监测或风险沟通的影响。</w:t>
      </w:r>
    </w:p>
    <w:p>
      <w:pPr>
        <w:pStyle w:val="ListBullet"/>
      </w:pPr>
      <w:r>
        <w:rPr>
          <w:rFonts w:ascii="Microsoft YaHei" w:hAnsi="Microsoft YaHei" w:eastAsia="微软雅黑"/>
          <w:sz w:val="21"/>
        </w:rPr>
        <w:t>Clinical｜贝派地酸+依折麦布+瑞舒伐他汀/阿托伐他汀联合研究更新：建议结合研究设计、入排标准、终点和安全性信息判断对本品医学沟通、竞品监测或风险沟通的影响。</w:t>
      </w:r>
    </w:p>
    <w:p>
      <w:pPr>
        <w:pStyle w:val="ListBullet"/>
      </w:pPr>
      <w:r>
        <w:rPr>
          <w:rFonts w:ascii="Microsoft YaHei" w:hAnsi="Microsoft YaHei" w:eastAsia="微软雅黑"/>
          <w:sz w:val="21"/>
        </w:rPr>
        <w:t>专家侧建议优先核对高频专家/机构与产品线的关联，必要时补充会议报道原文和论文全文。</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084F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17222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color w:val="084F4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