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084F49"/>
          <w:sz w:val="40"/>
        </w:rPr>
        <w:t>乐瑞卡｜2026年6月关注报告</w:t>
      </w:r>
    </w:p>
    <w:p>
      <w:pPr>
        <w:jc w:val="center"/>
      </w:pPr>
      <w:r>
        <w:rPr>
          <w:rFonts w:ascii="Microsoft YaHei" w:hAnsi="Microsoft YaHei" w:eastAsia="微软雅黑"/>
          <w:color w:val="5F6F72"/>
          <w:sz w:val="19"/>
        </w:rPr>
        <w:t>数据范围：2026-06-01 至 2026-06-30｜来源：产品/竞品研究进展 + NKOL 微信/PubMed 明细</w:t>
      </w:r>
    </w:p>
    <w:p>
      <w:pPr>
        <w:pStyle w:val="Heading1"/>
      </w:pPr>
      <w:r>
        <w:t>一、本月概览</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F766D"/>
          </w:tcPr>
          <w:p>
            <w:pPr>
              <w:spacing w:after="0"/>
            </w:pPr>
            <w:r/>
            <w:r>
              <w:rPr>
                <w:rFonts w:ascii="Microsoft YaHei" w:hAnsi="Microsoft YaHei" w:eastAsia="微软雅黑"/>
                <w:b/>
                <w:color w:val="FFFFFF"/>
                <w:sz w:val="18"/>
              </w:rPr>
              <w:t>指标</w:t>
            </w:r>
          </w:p>
        </w:tc>
        <w:tc>
          <w:tcPr>
            <w:tcW w:type="dxa" w:w="1728"/>
            <w:vAlign w:val="top"/>
            <w:shd w:fill="0F766D"/>
          </w:tcPr>
          <w:p>
            <w:pPr>
              <w:spacing w:after="0"/>
            </w:pPr>
            <w:r/>
            <w:r>
              <w:rPr>
                <w:rFonts w:ascii="Microsoft YaHei" w:hAnsi="Microsoft YaHei" w:eastAsia="微软雅黑"/>
                <w:b/>
                <w:color w:val="FFFFFF"/>
                <w:sz w:val="18"/>
              </w:rPr>
              <w:t>数量</w:t>
            </w:r>
          </w:p>
        </w:tc>
      </w:tr>
      <w:tr>
        <w:tc>
          <w:tcPr>
            <w:tcW w:type="dxa" w:w="2880"/>
            <w:vAlign w:val="top"/>
          </w:tcPr>
          <w:p>
            <w:pPr>
              <w:spacing w:after="0"/>
            </w:pPr>
            <w:r/>
            <w:r>
              <w:rPr>
                <w:rFonts w:ascii="Microsoft YaHei" w:hAnsi="Microsoft YaHei" w:eastAsia="微软雅黑"/>
                <w:b w:val="0"/>
                <w:sz w:val="18"/>
              </w:rPr>
              <w:t>产品/竞品进展</w:t>
            </w:r>
          </w:p>
        </w:tc>
        <w:tc>
          <w:tcPr>
            <w:tcW w:type="dxa" w:w="1728"/>
            <w:vAlign w:val="top"/>
          </w:tcPr>
          <w:p>
            <w:pPr>
              <w:spacing w:after="0"/>
            </w:pPr>
            <w:r/>
            <w:r>
              <w:rPr>
                <w:rFonts w:ascii="Microsoft YaHei" w:hAnsi="Microsoft YaHei" w:eastAsia="微软雅黑"/>
                <w:b w:val="0"/>
                <w:sz w:val="18"/>
              </w:rPr>
              <w:t>115</w:t>
            </w:r>
          </w:p>
        </w:tc>
      </w:tr>
      <w:tr>
        <w:tc>
          <w:tcPr>
            <w:tcW w:type="dxa" w:w="2880"/>
            <w:vAlign w:val="top"/>
          </w:tcPr>
          <w:p>
            <w:pPr>
              <w:spacing w:after="0"/>
            </w:pPr>
            <w:r/>
            <w:r>
              <w:rPr>
                <w:rFonts w:ascii="Microsoft YaHei" w:hAnsi="Microsoft YaHei" w:eastAsia="微软雅黑"/>
                <w:b w:val="0"/>
                <w:sz w:val="18"/>
              </w:rPr>
              <w:t>建议跟进</w:t>
            </w:r>
          </w:p>
        </w:tc>
        <w:tc>
          <w:tcPr>
            <w:tcW w:type="dxa" w:w="1728"/>
            <w:vAlign w:val="top"/>
          </w:tcPr>
          <w:p>
            <w:pPr>
              <w:spacing w:after="0"/>
            </w:pPr>
            <w:r/>
            <w:r>
              <w:rPr>
                <w:rFonts w:ascii="Microsoft YaHei" w:hAnsi="Microsoft YaHei" w:eastAsia="微软雅黑"/>
                <w:b w:val="0"/>
                <w:sz w:val="18"/>
              </w:rPr>
              <w:t>58</w:t>
            </w:r>
          </w:p>
        </w:tc>
      </w:tr>
      <w:tr>
        <w:tc>
          <w:tcPr>
            <w:tcW w:type="dxa" w:w="2880"/>
            <w:vAlign w:val="top"/>
          </w:tcPr>
          <w:p>
            <w:pPr>
              <w:spacing w:after="0"/>
            </w:pPr>
            <w:r/>
            <w:r>
              <w:rPr>
                <w:rFonts w:ascii="Microsoft YaHei" w:hAnsi="Microsoft YaHei" w:eastAsia="微软雅黑"/>
                <w:b w:val="0"/>
                <w:sz w:val="18"/>
              </w:rPr>
              <w:t>高证据</w:t>
            </w:r>
          </w:p>
        </w:tc>
        <w:tc>
          <w:tcPr>
            <w:tcW w:type="dxa" w:w="1728"/>
            <w:vAlign w:val="top"/>
          </w:tcPr>
          <w:p>
            <w:pPr>
              <w:spacing w:after="0"/>
            </w:pPr>
            <w:r/>
            <w:r>
              <w:rPr>
                <w:rFonts w:ascii="Microsoft YaHei" w:hAnsi="Microsoft YaHei" w:eastAsia="微软雅黑"/>
                <w:b w:val="0"/>
                <w:sz w:val="18"/>
              </w:rPr>
              <w:t>23</w:t>
            </w:r>
          </w:p>
        </w:tc>
      </w:tr>
      <w:tr>
        <w:tc>
          <w:tcPr>
            <w:tcW w:type="dxa" w:w="2880"/>
            <w:vAlign w:val="top"/>
          </w:tcPr>
          <w:p>
            <w:pPr>
              <w:spacing w:after="0"/>
            </w:pPr>
            <w:r/>
            <w:r>
              <w:rPr>
                <w:rFonts w:ascii="Microsoft YaHei" w:hAnsi="Microsoft YaHei" w:eastAsia="微软雅黑"/>
                <w:b w:val="0"/>
                <w:sz w:val="18"/>
              </w:rPr>
              <w:t>KOL/专家记录</w:t>
            </w:r>
          </w:p>
        </w:tc>
        <w:tc>
          <w:tcPr>
            <w:tcW w:type="dxa" w:w="1728"/>
            <w:vAlign w:val="top"/>
          </w:tcPr>
          <w:p>
            <w:pPr>
              <w:spacing w:after="0"/>
            </w:pPr>
            <w:r/>
            <w:r>
              <w:rPr>
                <w:rFonts w:ascii="Microsoft YaHei" w:hAnsi="Microsoft YaHei" w:eastAsia="微软雅黑"/>
                <w:b w:val="0"/>
                <w:sz w:val="18"/>
              </w:rPr>
              <w:t>7</w:t>
            </w:r>
          </w:p>
        </w:tc>
      </w:tr>
      <w:tr>
        <w:tc>
          <w:tcPr>
            <w:tcW w:type="dxa" w:w="2880"/>
            <w:vAlign w:val="top"/>
          </w:tcPr>
          <w:p>
            <w:pPr>
              <w:spacing w:after="0"/>
            </w:pPr>
            <w:r/>
            <w:r>
              <w:rPr>
                <w:rFonts w:ascii="Microsoft YaHei" w:hAnsi="Microsoft YaHei" w:eastAsia="微软雅黑"/>
                <w:b w:val="0"/>
                <w:sz w:val="18"/>
              </w:rPr>
              <w:t>涉及专家</w:t>
            </w:r>
          </w:p>
        </w:tc>
        <w:tc>
          <w:tcPr>
            <w:tcW w:type="dxa" w:w="1728"/>
            <w:vAlign w:val="top"/>
          </w:tcPr>
          <w:p>
            <w:pPr>
              <w:spacing w:after="0"/>
            </w:pPr>
            <w:r/>
            <w:r>
              <w:rPr>
                <w:rFonts w:ascii="Microsoft YaHei" w:hAnsi="Microsoft YaHei" w:eastAsia="微软雅黑"/>
                <w:b w:val="0"/>
                <w:sz w:val="18"/>
              </w:rPr>
              <w:t>6</w:t>
            </w:r>
          </w:p>
        </w:tc>
      </w:tr>
      <w:tr>
        <w:tc>
          <w:tcPr>
            <w:tcW w:type="dxa" w:w="2880"/>
            <w:vAlign w:val="top"/>
          </w:tcPr>
          <w:p>
            <w:pPr>
              <w:spacing w:after="0"/>
            </w:pPr>
            <w:r/>
            <w:r>
              <w:rPr>
                <w:rFonts w:ascii="Microsoft YaHei" w:hAnsi="Microsoft YaHei" w:eastAsia="微软雅黑"/>
                <w:b w:val="0"/>
                <w:sz w:val="18"/>
              </w:rPr>
              <w:t>涉及机构</w:t>
            </w:r>
          </w:p>
        </w:tc>
        <w:tc>
          <w:tcPr>
            <w:tcW w:type="dxa" w:w="1728"/>
            <w:vAlign w:val="top"/>
          </w:tcPr>
          <w:p>
            <w:pPr>
              <w:spacing w:after="0"/>
            </w:pPr>
            <w:r/>
            <w:r>
              <w:rPr>
                <w:rFonts w:ascii="Microsoft YaHei" w:hAnsi="Microsoft YaHei" w:eastAsia="微软雅黑"/>
                <w:b w:val="0"/>
                <w:sz w:val="18"/>
              </w:rPr>
              <w:t>4</w:t>
            </w:r>
          </w:p>
        </w:tc>
      </w:tr>
    </w:tbl>
    <w:p>
      <w:pPr>
        <w:pStyle w:val="Heading1"/>
      </w:pPr>
      <w:r>
        <w:t>二、本月结论</w:t>
      </w:r>
    </w:p>
    <w:p>
      <w:pPr>
        <w:pStyle w:val="ListBullet"/>
      </w:pPr>
      <w:r>
        <w:rPr>
          <w:rFonts w:ascii="Microsoft YaHei" w:hAnsi="Microsoft YaHei" w:eastAsia="微软雅黑"/>
          <w:sz w:val="21"/>
        </w:rPr>
        <w:t>6月共纳入 115 条产品/竞品研究进展，其中 58 条建议跟进，23 条为高证据。</w:t>
      </w:r>
    </w:p>
    <w:p>
      <w:pPr>
        <w:pStyle w:val="ListBullet"/>
      </w:pPr>
      <w:r>
        <w:rPr>
          <w:rFonts w:ascii="Microsoft YaHei" w:hAnsi="Microsoft YaHei" w:eastAsia="微软雅黑"/>
          <w:sz w:val="21"/>
        </w:rPr>
        <w:t>产品进展主要来源于：PubMed 78条；Clinical 35条；万方 2条。</w:t>
      </w:r>
    </w:p>
    <w:p>
      <w:pPr>
        <w:pStyle w:val="ListBullet"/>
      </w:pPr>
      <w:r>
        <w:rPr>
          <w:rFonts w:ascii="Microsoft YaHei" w:hAnsi="Microsoft YaHei" w:eastAsia="微软雅黑"/>
          <w:sz w:val="21"/>
        </w:rPr>
        <w:t>本月关注口径集中在：局部竞品；利多卡因贴剂；直接竞品；Neurontin；机制竞品；Tegretol；机制竞品；Vimpat。</w:t>
      </w:r>
    </w:p>
    <w:p>
      <w:pPr>
        <w:pStyle w:val="ListBullet"/>
      </w:pPr>
      <w:r>
        <w:rPr>
          <w:rFonts w:ascii="Microsoft YaHei" w:hAnsi="Microsoft YaHei" w:eastAsia="微软雅黑"/>
          <w:sz w:val="21"/>
        </w:rPr>
        <w:t>KOL/专家侧共 7 条记录，涉及 6 位专家、4 家机构；来源构成为：PubMed 7条。</w:t>
      </w:r>
    </w:p>
    <w:p>
      <w:pPr>
        <w:pStyle w:val="ListBullet"/>
      </w:pPr>
      <w:r>
        <w:rPr>
          <w:rFonts w:ascii="Microsoft YaHei" w:hAnsi="Microsoft YaHei" w:eastAsia="微软雅黑"/>
          <w:sz w:val="21"/>
        </w:rPr>
        <w:t>涉及分子/靶点高频出现：Pregabalin / C8H17NO2；利多卡因 / lidocaine / C14H22N2O；加巴喷丁 / gabapentin / C9H17NO2；卡马西平 / carbamazepine / C15H12N2O；拉考沙胺 / lacosamide / C13H18N2O3；辣椒素 / capsaicin / C18H27NO3。</w:t>
      </w:r>
    </w:p>
    <w:p>
      <w:pPr>
        <w:pStyle w:val="Heading1"/>
      </w:pPr>
      <w:r>
        <w:t>三、重点关注事项</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080"/>
            <w:vAlign w:val="top"/>
            <w:shd w:fill="0F766D"/>
          </w:tcPr>
          <w:p>
            <w:pPr>
              <w:spacing w:after="0"/>
            </w:pPr>
            <w:r/>
            <w:r>
              <w:rPr>
                <w:rFonts w:ascii="Microsoft YaHei" w:hAnsi="Microsoft YaHei" w:eastAsia="微软雅黑"/>
                <w:b/>
                <w:color w:val="FFFFFF"/>
                <w:sz w:val="18"/>
              </w:rPr>
              <w:t>来源</w:t>
            </w:r>
          </w:p>
        </w:tc>
        <w:tc>
          <w:tcPr>
            <w:tcW w:type="dxa" w:w="1944"/>
            <w:vAlign w:val="top"/>
            <w:shd w:fill="0F766D"/>
          </w:tcPr>
          <w:p>
            <w:pPr>
              <w:spacing w:after="0"/>
            </w:pPr>
            <w:r/>
            <w:r>
              <w:rPr>
                <w:rFonts w:ascii="Microsoft YaHei" w:hAnsi="Microsoft YaHei" w:eastAsia="微软雅黑"/>
                <w:b/>
                <w:color w:val="FFFFFF"/>
                <w:sz w:val="18"/>
              </w:rPr>
              <w:t>产品/竞品口径</w:t>
            </w:r>
          </w:p>
        </w:tc>
        <w:tc>
          <w:tcPr>
            <w:tcW w:type="dxa" w:w="1224"/>
            <w:vAlign w:val="top"/>
            <w:shd w:fill="0F766D"/>
          </w:tcPr>
          <w:p>
            <w:pPr>
              <w:spacing w:after="0"/>
            </w:pPr>
            <w:r/>
            <w:r>
              <w:rPr>
                <w:rFonts w:ascii="Microsoft YaHei" w:hAnsi="Microsoft YaHei" w:eastAsia="微软雅黑"/>
                <w:b/>
                <w:color w:val="FFFFFF"/>
                <w:sz w:val="18"/>
              </w:rPr>
              <w:t>证据/跟进</w:t>
            </w:r>
          </w:p>
        </w:tc>
        <w:tc>
          <w:tcPr>
            <w:tcW w:type="dxa" w:w="2448"/>
            <w:vAlign w:val="top"/>
            <w:shd w:fill="0F766D"/>
          </w:tcPr>
          <w:p>
            <w:pPr>
              <w:spacing w:after="0"/>
            </w:pPr>
            <w:r/>
            <w:r>
              <w:rPr>
                <w:rFonts w:ascii="Microsoft YaHei" w:hAnsi="Microsoft YaHei" w:eastAsia="微软雅黑"/>
                <w:b/>
                <w:color w:val="FFFFFF"/>
                <w:sz w:val="18"/>
              </w:rPr>
              <w:t>标题/事件</w:t>
            </w:r>
          </w:p>
        </w:tc>
        <w:tc>
          <w:tcPr>
            <w:tcW w:type="dxa" w:w="3096"/>
            <w:vAlign w:val="top"/>
            <w:shd w:fill="0F766D"/>
          </w:tcPr>
          <w:p>
            <w:pPr>
              <w:spacing w:after="0"/>
            </w:pPr>
            <w:r/>
            <w:r>
              <w:rPr>
                <w:rFonts w:ascii="Microsoft YaHei" w:hAnsi="Microsoft YaHei" w:eastAsia="微软雅黑"/>
                <w:b/>
                <w:color w:val="FFFFFF"/>
                <w:sz w:val="18"/>
              </w:rPr>
              <w:t>核心内容摘要</w:t>
            </w:r>
          </w:p>
        </w:tc>
        <w:tc>
          <w:tcPr>
            <w:tcW w:type="dxa" w:w="2160"/>
            <w:vAlign w:val="top"/>
            <w:shd w:fill="0F766D"/>
          </w:tcPr>
          <w:p>
            <w:pPr>
              <w:spacing w:after="0"/>
            </w:pPr>
            <w:r/>
            <w:r>
              <w:rPr>
                <w:rFonts w:ascii="Microsoft YaHei" w:hAnsi="Microsoft YaHei" w:eastAsia="微软雅黑"/>
                <w:b/>
                <w:color w:val="FFFFFF"/>
                <w:sz w:val="18"/>
              </w:rPr>
              <w:t>影响判断</w:t>
            </w:r>
          </w:p>
        </w:tc>
      </w:tr>
      <w:tr>
        <w:tc>
          <w:tcPr>
            <w:tcW w:type="dxa" w:w="1152"/>
            <w:vAlign w:val="top"/>
          </w:tcPr>
          <w:p>
            <w:pPr>
              <w:spacing w:after="0"/>
            </w:pPr>
            <w:r/>
            <w:r>
              <w:rPr>
                <w:rFonts w:ascii="Microsoft YaHei" w:hAnsi="Microsoft YaHei" w:eastAsia="微软雅黑"/>
                <w:b w:val="0"/>
                <w:sz w:val="18"/>
              </w:rPr>
              <w:t>2026-06-17</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本品/同成分；乐瑞卡/Lyrica</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普瑞巴林相关 ClinicalTrials.gov 临床研究更新（NCT03216187）</w:t>
            </w:r>
          </w:p>
        </w:tc>
        <w:tc>
          <w:tcPr>
            <w:tcW w:type="dxa" w:w="3096"/>
            <w:vAlign w:val="top"/>
          </w:tcPr>
          <w:p>
            <w:pPr>
              <w:spacing w:after="0"/>
            </w:pPr>
            <w:r/>
            <w:r>
              <w:rPr>
                <w:rFonts w:ascii="Microsoft YaHei" w:hAnsi="Microsoft YaHei" w:eastAsia="微软雅黑"/>
                <w:b w:val="0"/>
                <w:sz w:val="18"/>
              </w:rPr>
              <w:t>ClinicalTrials.gov 研究：Swiss Multi-centre, Randomized, Placebo Controlled Trial of Pregabalin for Prevention of Persistent Pain in High Risk Patients U（详见网站明细）</w:t>
            </w:r>
          </w:p>
        </w:tc>
        <w:tc>
          <w:tcPr>
            <w:tcW w:type="dxa" w:w="2160"/>
            <w:vAlign w:val="top"/>
          </w:tcPr>
          <w:p>
            <w:pPr>
              <w:spacing w:after="0"/>
            </w:pPr>
            <w:r/>
            <w:r>
              <w:rPr>
                <w:rFonts w:ascii="Microsoft YaHei" w:hAnsi="Microsoft YaHei" w:eastAsia="微软雅黑"/>
                <w:b w:val="0"/>
                <w:sz w:val="18"/>
              </w:rPr>
              <w:t>同成分和神经病理性疼痛竞争；建议查看研究设计、入排标准和终点，判断对乐瑞卡或同机制竞品监测的影响。</w:t>
            </w:r>
          </w:p>
        </w:tc>
      </w:tr>
      <w:tr>
        <w:tc>
          <w:tcPr>
            <w:tcW w:type="dxa" w:w="1152"/>
            <w:vAlign w:val="top"/>
          </w:tcPr>
          <w:p>
            <w:pPr>
              <w:spacing w:after="0"/>
            </w:pPr>
            <w:r/>
            <w:r>
              <w:rPr>
                <w:rFonts w:ascii="Microsoft YaHei" w:hAnsi="Microsoft YaHei" w:eastAsia="微软雅黑"/>
                <w:b w:val="0"/>
                <w:sz w:val="18"/>
              </w:rPr>
              <w:t>2026-06-17</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机制竞品；Elavil</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盐酸阿米替林相关 ClinicalTrials.gov 临床研究更新（NCT07655440）</w:t>
            </w:r>
          </w:p>
        </w:tc>
        <w:tc>
          <w:tcPr>
            <w:tcW w:type="dxa" w:w="3096"/>
            <w:vAlign w:val="top"/>
          </w:tcPr>
          <w:p>
            <w:pPr>
              <w:spacing w:after="0"/>
            </w:pPr>
            <w:r/>
            <w:r>
              <w:rPr>
                <w:rFonts w:ascii="Microsoft YaHei" w:hAnsi="Microsoft YaHei" w:eastAsia="微软雅黑"/>
                <w:b w:val="0"/>
                <w:sz w:val="18"/>
              </w:rPr>
              <w:t>ClinicalTrials.gov 研究：Comparing Migraine Preventive Therapies vs. Anti-CGRP Therapies for Tinnitus in Patients With Migraine (COMPACT-PM)；（详见网站明细）</w:t>
            </w:r>
          </w:p>
        </w:tc>
        <w:tc>
          <w:tcPr>
            <w:tcW w:type="dxa" w:w="2160"/>
            <w:vAlign w:val="top"/>
          </w:tcPr>
          <w:p>
            <w:pPr>
              <w:spacing w:after="0"/>
            </w:pPr>
            <w:r/>
            <w:r>
              <w:rPr>
                <w:rFonts w:ascii="Microsoft YaHei" w:hAnsi="Microsoft YaHei" w:eastAsia="微软雅黑"/>
                <w:b w:val="0"/>
                <w:sz w:val="18"/>
              </w:rPr>
              <w:t>神经病理性疼痛传统替代；建议查看研究设计、入排标准和终点，判断对乐瑞卡或同机制竞品监测的影响。</w:t>
            </w:r>
          </w:p>
        </w:tc>
      </w:tr>
      <w:tr>
        <w:tc>
          <w:tcPr>
            <w:tcW w:type="dxa" w:w="1152"/>
            <w:vAlign w:val="top"/>
          </w:tcPr>
          <w:p>
            <w:pPr>
              <w:spacing w:after="0"/>
            </w:pPr>
            <w:r/>
            <w:r>
              <w:rPr>
                <w:rFonts w:ascii="Microsoft YaHei" w:hAnsi="Microsoft YaHei" w:eastAsia="微软雅黑"/>
                <w:b w:val="0"/>
                <w:sz w:val="18"/>
              </w:rPr>
              <w:t>2026-06-17</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局部竞品；利多卡因贴剂</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利多卡因相关 ClinicalTrials.gov 临床研究更新（NCT07429292）</w:t>
            </w:r>
          </w:p>
        </w:tc>
        <w:tc>
          <w:tcPr>
            <w:tcW w:type="dxa" w:w="3096"/>
            <w:vAlign w:val="top"/>
          </w:tcPr>
          <w:p>
            <w:pPr>
              <w:spacing w:after="0"/>
            </w:pPr>
            <w:r/>
            <w:r>
              <w:rPr>
                <w:rFonts w:ascii="Microsoft YaHei" w:hAnsi="Microsoft YaHei" w:eastAsia="微软雅黑"/>
                <w:b w:val="0"/>
                <w:sz w:val="18"/>
              </w:rPr>
              <w:t>ClinicalTrials.gov 研究：SPARK Study - Sympathetic Periarterial Radial Block in Healthy Volunteers；NCT：NCT07429292；状态：NOT_YET_RECRUITING；阶段：PHASE4；（详见网站明细）</w:t>
            </w:r>
          </w:p>
        </w:tc>
        <w:tc>
          <w:tcPr>
            <w:tcW w:type="dxa" w:w="2160"/>
            <w:vAlign w:val="top"/>
          </w:tcPr>
          <w:p>
            <w:pPr>
              <w:spacing w:after="0"/>
            </w:pPr>
            <w:r/>
            <w:r>
              <w:rPr>
                <w:rFonts w:ascii="Microsoft YaHei" w:hAnsi="Microsoft YaHei" w:eastAsia="微软雅黑"/>
                <w:b w:val="0"/>
                <w:sz w:val="18"/>
              </w:rPr>
              <w:t>局部神经痛替代；建议查看研究设计、入排标准和终点，判断对乐瑞卡或同机制竞品监测的影响。</w:t>
            </w:r>
          </w:p>
        </w:tc>
      </w:tr>
      <w:tr>
        <w:tc>
          <w:tcPr>
            <w:tcW w:type="dxa" w:w="1152"/>
            <w:vAlign w:val="top"/>
          </w:tcPr>
          <w:p>
            <w:pPr>
              <w:spacing w:after="0"/>
            </w:pPr>
            <w:r/>
            <w:r>
              <w:rPr>
                <w:rFonts w:ascii="Microsoft YaHei" w:hAnsi="Microsoft YaHei" w:eastAsia="微软雅黑"/>
                <w:b w:val="0"/>
                <w:sz w:val="18"/>
              </w:rPr>
              <w:t>2026-06-16</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机制竞品；Topamax</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托吡酯相关 ClinicalTrials.gov 临床研究更新（NCT06972056）</w:t>
            </w:r>
          </w:p>
        </w:tc>
        <w:tc>
          <w:tcPr>
            <w:tcW w:type="dxa" w:w="3096"/>
            <w:vAlign w:val="top"/>
          </w:tcPr>
          <w:p>
            <w:pPr>
              <w:spacing w:after="0"/>
            </w:pPr>
            <w:r/>
            <w:r>
              <w:rPr>
                <w:rFonts w:ascii="Microsoft YaHei" w:hAnsi="Microsoft YaHei" w:eastAsia="微软雅黑"/>
                <w:b w:val="0"/>
                <w:sz w:val="18"/>
              </w:rPr>
              <w:t>ClinicalTrials.gov 研究：Comparative Effectiveness of Migraine Preventive Medications: The APT Comparison Study；NCT：NCT06972056；状态：RECRUITING；阶段：PHASE4；（详见网站明细）</w:t>
            </w:r>
          </w:p>
        </w:tc>
        <w:tc>
          <w:tcPr>
            <w:tcW w:type="dxa" w:w="2160"/>
            <w:vAlign w:val="top"/>
          </w:tcPr>
          <w:p>
            <w:pPr>
              <w:spacing w:after="0"/>
            </w:pPr>
            <w:r/>
            <w:r>
              <w:rPr>
                <w:rFonts w:ascii="Microsoft YaHei" w:hAnsi="Microsoft YaHei" w:eastAsia="微软雅黑"/>
                <w:b w:val="0"/>
                <w:sz w:val="18"/>
              </w:rPr>
              <w:t>癫痫/疼痛相关替代；建议查看研究设计、入排标准和终点，判断对乐瑞卡或同机制竞品监测的影响。</w:t>
            </w:r>
          </w:p>
        </w:tc>
      </w:tr>
      <w:tr>
        <w:tc>
          <w:tcPr>
            <w:tcW w:type="dxa" w:w="1152"/>
            <w:vAlign w:val="top"/>
          </w:tcPr>
          <w:p>
            <w:pPr>
              <w:spacing w:after="0"/>
            </w:pPr>
            <w:r/>
            <w:r>
              <w:rPr>
                <w:rFonts w:ascii="Microsoft YaHei" w:hAnsi="Microsoft YaHei" w:eastAsia="微软雅黑"/>
                <w:b w:val="0"/>
                <w:sz w:val="18"/>
              </w:rPr>
              <w:t>2026-06-15</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局部竞品；Qutenza</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辣椒素相关 ClinicalTrials.gov 临床研究更新（NCT05997979）</w:t>
            </w:r>
          </w:p>
        </w:tc>
        <w:tc>
          <w:tcPr>
            <w:tcW w:type="dxa" w:w="3096"/>
            <w:vAlign w:val="top"/>
          </w:tcPr>
          <w:p>
            <w:pPr>
              <w:spacing w:after="0"/>
            </w:pPr>
            <w:r/>
            <w:r>
              <w:rPr>
                <w:rFonts w:ascii="Microsoft YaHei" w:hAnsi="Microsoft YaHei" w:eastAsia="微软雅黑"/>
                <w:b w:val="0"/>
                <w:sz w:val="18"/>
              </w:rPr>
              <w:t>ClinicalTrials.gov 研究：Analgesic Effectiveness of Capsaicin 8% Cutaneous Patch in Children；NCT：NCT05997979；状态：RECRUITING；阶段：PHASE3；（详见网站明细）</w:t>
            </w:r>
          </w:p>
        </w:tc>
        <w:tc>
          <w:tcPr>
            <w:tcW w:type="dxa" w:w="2160"/>
            <w:vAlign w:val="top"/>
          </w:tcPr>
          <w:p>
            <w:pPr>
              <w:spacing w:after="0"/>
            </w:pPr>
            <w:r/>
            <w:r>
              <w:rPr>
                <w:rFonts w:ascii="Microsoft YaHei" w:hAnsi="Microsoft YaHei" w:eastAsia="微软雅黑"/>
                <w:b w:val="0"/>
                <w:sz w:val="18"/>
              </w:rPr>
              <w:t>局部神经痛替代；建议查看研究设计、入排标准和终点，判断对乐瑞卡或同机制竞品监测的影响。</w:t>
            </w:r>
          </w:p>
        </w:tc>
      </w:tr>
      <w:tr>
        <w:tc>
          <w:tcPr>
            <w:tcW w:type="dxa" w:w="1152"/>
            <w:vAlign w:val="top"/>
          </w:tcPr>
          <w:p>
            <w:pPr>
              <w:spacing w:after="0"/>
            </w:pPr>
            <w:r/>
            <w:r>
              <w:rPr>
                <w:rFonts w:ascii="Microsoft YaHei" w:hAnsi="Microsoft YaHei" w:eastAsia="微软雅黑"/>
                <w:b w:val="0"/>
                <w:sz w:val="18"/>
              </w:rPr>
              <w:t>2026-06-10</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机制竞品；Lamictal</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拉莫三嗪相关 ClinicalTrials.gov 临床研究更新（NCT07140913）</w:t>
            </w:r>
          </w:p>
        </w:tc>
        <w:tc>
          <w:tcPr>
            <w:tcW w:type="dxa" w:w="3096"/>
            <w:vAlign w:val="top"/>
          </w:tcPr>
          <w:p>
            <w:pPr>
              <w:spacing w:after="0"/>
            </w:pPr>
            <w:r/>
            <w:r>
              <w:rPr>
                <w:rFonts w:ascii="Microsoft YaHei" w:hAnsi="Microsoft YaHei" w:eastAsia="微软雅黑"/>
                <w:b w:val="0"/>
                <w:sz w:val="18"/>
              </w:rPr>
              <w:t>ClinicalTrials.gov 研究：A Study to Evaluate the Efficacy and Safety of Adjunctive KarXT for the Treatment of Mania, With or Without Mixed Features,（详见网站明细）</w:t>
            </w:r>
          </w:p>
        </w:tc>
        <w:tc>
          <w:tcPr>
            <w:tcW w:type="dxa" w:w="2160"/>
            <w:vAlign w:val="top"/>
          </w:tcPr>
          <w:p>
            <w:pPr>
              <w:spacing w:after="0"/>
            </w:pPr>
            <w:r/>
            <w:r>
              <w:rPr>
                <w:rFonts w:ascii="Microsoft YaHei" w:hAnsi="Microsoft YaHei" w:eastAsia="微软雅黑"/>
                <w:b w:val="0"/>
                <w:sz w:val="18"/>
              </w:rPr>
              <w:t>癫痫/疼痛相关替代；建议查看研究设计、入排标准和终点，判断对乐瑞卡或同机制竞品监测的影响。</w:t>
            </w:r>
          </w:p>
        </w:tc>
      </w:tr>
      <w:tr>
        <w:tc>
          <w:tcPr>
            <w:tcW w:type="dxa" w:w="1152"/>
            <w:vAlign w:val="top"/>
          </w:tcPr>
          <w:p>
            <w:pPr>
              <w:spacing w:after="0"/>
            </w:pPr>
            <w:r/>
            <w:r>
              <w:rPr>
                <w:rFonts w:ascii="Microsoft YaHei" w:hAnsi="Microsoft YaHei" w:eastAsia="微软雅黑"/>
                <w:b w:val="0"/>
                <w:sz w:val="18"/>
              </w:rPr>
              <w:t>2026-06-10</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局部竞品；利多卡因贴剂</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利多卡因相关 ClinicalTrials.gov 临床研究更新（NCT07640256）</w:t>
            </w:r>
          </w:p>
        </w:tc>
        <w:tc>
          <w:tcPr>
            <w:tcW w:type="dxa" w:w="3096"/>
            <w:vAlign w:val="top"/>
          </w:tcPr>
          <w:p>
            <w:pPr>
              <w:spacing w:after="0"/>
            </w:pPr>
            <w:r/>
            <w:r>
              <w:rPr>
                <w:rFonts w:ascii="Microsoft YaHei" w:hAnsi="Microsoft YaHei" w:eastAsia="微软雅黑"/>
                <w:b w:val="0"/>
                <w:sz w:val="18"/>
              </w:rPr>
              <w:t>ClinicalTrials.gov 研究：Pain Management During Panretinal Photocoagulation for Diabetic Retinopathy: Safety and Efficacy of Peribulbar Anesthesia；（详见网站明细）</w:t>
            </w:r>
          </w:p>
        </w:tc>
        <w:tc>
          <w:tcPr>
            <w:tcW w:type="dxa" w:w="2160"/>
            <w:vAlign w:val="top"/>
          </w:tcPr>
          <w:p>
            <w:pPr>
              <w:spacing w:after="0"/>
            </w:pPr>
            <w:r/>
            <w:r>
              <w:rPr>
                <w:rFonts w:ascii="Microsoft YaHei" w:hAnsi="Microsoft YaHei" w:eastAsia="微软雅黑"/>
                <w:b w:val="0"/>
                <w:sz w:val="18"/>
              </w:rPr>
              <w:t>局部神经痛替代；建议查看研究设计、入排标准和终点，判断对乐瑞卡或同机制竞品监测的影响。</w:t>
            </w:r>
          </w:p>
        </w:tc>
      </w:tr>
      <w:tr>
        <w:tc>
          <w:tcPr>
            <w:tcW w:type="dxa" w:w="1152"/>
            <w:vAlign w:val="top"/>
          </w:tcPr>
          <w:p>
            <w:pPr>
              <w:spacing w:after="0"/>
            </w:pPr>
            <w:r/>
            <w:r>
              <w:rPr>
                <w:rFonts w:ascii="Microsoft YaHei" w:hAnsi="Microsoft YaHei" w:eastAsia="微软雅黑"/>
                <w:b w:val="0"/>
                <w:sz w:val="18"/>
              </w:rPr>
              <w:t>2026-06-09</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机制竞品；怡诺思/Efexor XR</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盐酸文拉法辛相关 ClinicalTrials.gov 临床研究更新（NCT04961190）</w:t>
            </w:r>
          </w:p>
        </w:tc>
        <w:tc>
          <w:tcPr>
            <w:tcW w:type="dxa" w:w="3096"/>
            <w:vAlign w:val="top"/>
          </w:tcPr>
          <w:p>
            <w:pPr>
              <w:spacing w:after="0"/>
            </w:pPr>
            <w:r/>
            <w:r>
              <w:rPr>
                <w:rFonts w:ascii="Microsoft YaHei" w:hAnsi="Microsoft YaHei" w:eastAsia="微软雅黑"/>
                <w:b w:val="0"/>
                <w:sz w:val="18"/>
              </w:rPr>
              <w:t>ClinicalTrials.gov 研究：A Comparison of Prolonged Exposure Therapy, Pharmacotherapy, and Their Combination for PTSD；NCT：NCT04961190；（详见网站明细）</w:t>
            </w:r>
          </w:p>
        </w:tc>
        <w:tc>
          <w:tcPr>
            <w:tcW w:type="dxa" w:w="2160"/>
            <w:vAlign w:val="top"/>
          </w:tcPr>
          <w:p>
            <w:pPr>
              <w:spacing w:after="0"/>
            </w:pPr>
            <w:r/>
            <w:r>
              <w:rPr>
                <w:rFonts w:ascii="Microsoft YaHei" w:hAnsi="Microsoft YaHei" w:eastAsia="微软雅黑"/>
                <w:b w:val="0"/>
                <w:sz w:val="18"/>
              </w:rPr>
              <w:t>疼痛伴焦虑抑郁场景替代；建议查看研究设计、入排标准和终点，判断对乐瑞卡或同机制竞品监测的影响。</w:t>
            </w:r>
          </w:p>
        </w:tc>
      </w:tr>
      <w:tr>
        <w:tc>
          <w:tcPr>
            <w:tcW w:type="dxa" w:w="1152"/>
            <w:vAlign w:val="top"/>
          </w:tcPr>
          <w:p>
            <w:pPr>
              <w:spacing w:after="0"/>
            </w:pPr>
            <w:r/>
            <w:r>
              <w:rPr>
                <w:rFonts w:ascii="Microsoft YaHei" w:hAnsi="Microsoft YaHei" w:eastAsia="微软雅黑"/>
                <w:b w:val="0"/>
                <w:sz w:val="18"/>
              </w:rPr>
              <w:t>2026-06-09</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机制竞品；Elavil</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盐酸阿米替林相关 ClinicalTrials.gov 临床研究更新（NCT04777006）</w:t>
            </w:r>
          </w:p>
        </w:tc>
        <w:tc>
          <w:tcPr>
            <w:tcW w:type="dxa" w:w="3096"/>
            <w:vAlign w:val="top"/>
          </w:tcPr>
          <w:p>
            <w:pPr>
              <w:spacing w:after="0"/>
            </w:pPr>
            <w:r/>
            <w:r>
              <w:rPr>
                <w:rFonts w:ascii="Microsoft YaHei" w:hAnsi="Microsoft YaHei" w:eastAsia="微软雅黑"/>
                <w:b w:val="0"/>
                <w:sz w:val="18"/>
              </w:rPr>
              <w:t>ClinicalTrials.gov 研究：Integrating a Stepped Care Model of Screening and Treatment for Depression Into Malawi's National HIV Care Delivery Platform；（详见网站明细）</w:t>
            </w:r>
          </w:p>
        </w:tc>
        <w:tc>
          <w:tcPr>
            <w:tcW w:type="dxa" w:w="2160"/>
            <w:vAlign w:val="top"/>
          </w:tcPr>
          <w:p>
            <w:pPr>
              <w:spacing w:after="0"/>
            </w:pPr>
            <w:r/>
            <w:r>
              <w:rPr>
                <w:rFonts w:ascii="Microsoft YaHei" w:hAnsi="Microsoft YaHei" w:eastAsia="微软雅黑"/>
                <w:b w:val="0"/>
                <w:sz w:val="18"/>
              </w:rPr>
              <w:t>神经病理性疼痛传统替代；建议查看研究设计、入排标准和终点，判断对乐瑞卡或同机制竞品监测的影响。</w:t>
            </w:r>
          </w:p>
        </w:tc>
      </w:tr>
      <w:tr>
        <w:tc>
          <w:tcPr>
            <w:tcW w:type="dxa" w:w="1152"/>
            <w:vAlign w:val="top"/>
          </w:tcPr>
          <w:p>
            <w:pPr>
              <w:spacing w:after="0"/>
            </w:pPr>
            <w:r/>
            <w:r>
              <w:rPr>
                <w:rFonts w:ascii="Microsoft YaHei" w:hAnsi="Microsoft YaHei" w:eastAsia="微软雅黑"/>
                <w:b w:val="0"/>
                <w:sz w:val="18"/>
              </w:rPr>
              <w:t>2026-06-04</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直接竞品；Neurontin</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加巴喷丁相关 ClinicalTrials.gov 临床研究更新（NCT07625410）</w:t>
            </w:r>
          </w:p>
        </w:tc>
        <w:tc>
          <w:tcPr>
            <w:tcW w:type="dxa" w:w="3096"/>
            <w:vAlign w:val="top"/>
          </w:tcPr>
          <w:p>
            <w:pPr>
              <w:spacing w:after="0"/>
            </w:pPr>
            <w:r/>
            <w:r>
              <w:rPr>
                <w:rFonts w:ascii="Microsoft YaHei" w:hAnsi="Microsoft YaHei" w:eastAsia="微软雅黑"/>
                <w:b w:val="0"/>
                <w:sz w:val="18"/>
              </w:rPr>
              <w:t>ClinicalTrials.gov 研究：To Evaluate Efficacy of Monotherapy of Oxcarbazepine Versus Combination of Gabapentin With Oxcarbazepine in the Management of Tr（详见网站明细）</w:t>
            </w:r>
          </w:p>
        </w:tc>
        <w:tc>
          <w:tcPr>
            <w:tcW w:type="dxa" w:w="2160"/>
            <w:vAlign w:val="top"/>
          </w:tcPr>
          <w:p>
            <w:pPr>
              <w:spacing w:after="0"/>
            </w:pPr>
            <w:r/>
            <w:r>
              <w:rPr>
                <w:rFonts w:ascii="Microsoft YaHei" w:hAnsi="Microsoft YaHei" w:eastAsia="微软雅黑"/>
                <w:b w:val="0"/>
                <w:sz w:val="18"/>
              </w:rPr>
              <w:t>同机制替代；建议查看研究设计、入排标准和终点，判断对乐瑞卡或同机制竞品监测的影响。</w:t>
            </w:r>
          </w:p>
        </w:tc>
      </w:tr>
    </w:tbl>
    <w:p>
      <w:pPr>
        <w:pStyle w:val="Heading1"/>
      </w:pPr>
      <w:r>
        <w:t>四、KOL/专家动态</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296"/>
            <w:vAlign w:val="top"/>
            <w:shd w:fill="0F766D"/>
          </w:tcPr>
          <w:p>
            <w:pPr>
              <w:spacing w:after="0"/>
            </w:pPr>
            <w:r/>
            <w:r>
              <w:rPr>
                <w:rFonts w:ascii="Microsoft YaHei" w:hAnsi="Microsoft YaHei" w:eastAsia="微软雅黑"/>
                <w:b/>
                <w:color w:val="FFFFFF"/>
                <w:sz w:val="18"/>
              </w:rPr>
              <w:t>来源</w:t>
            </w:r>
          </w:p>
        </w:tc>
        <w:tc>
          <w:tcPr>
            <w:tcW w:type="dxa" w:w="936"/>
            <w:vAlign w:val="top"/>
            <w:shd w:fill="0F766D"/>
          </w:tcPr>
          <w:p>
            <w:pPr>
              <w:spacing w:after="0"/>
            </w:pPr>
            <w:r/>
            <w:r>
              <w:rPr>
                <w:rFonts w:ascii="Microsoft YaHei" w:hAnsi="Microsoft YaHei" w:eastAsia="微软雅黑"/>
                <w:b/>
                <w:color w:val="FFFFFF"/>
                <w:sz w:val="18"/>
              </w:rPr>
              <w:t>类型</w:t>
            </w:r>
          </w:p>
        </w:tc>
        <w:tc>
          <w:tcPr>
            <w:tcW w:type="dxa" w:w="2160"/>
            <w:vAlign w:val="top"/>
            <w:shd w:fill="0F766D"/>
          </w:tcPr>
          <w:p>
            <w:pPr>
              <w:spacing w:after="0"/>
            </w:pPr>
            <w:r/>
            <w:r>
              <w:rPr>
                <w:rFonts w:ascii="Microsoft YaHei" w:hAnsi="Microsoft YaHei" w:eastAsia="微软雅黑"/>
                <w:b/>
                <w:color w:val="FFFFFF"/>
                <w:sz w:val="18"/>
              </w:rPr>
              <w:t>专家/机构</w:t>
            </w:r>
          </w:p>
        </w:tc>
        <w:tc>
          <w:tcPr>
            <w:tcW w:type="dxa" w:w="2592"/>
            <w:vAlign w:val="top"/>
            <w:shd w:fill="0F766D"/>
          </w:tcPr>
          <w:p>
            <w:pPr>
              <w:spacing w:after="0"/>
            </w:pPr>
            <w:r/>
            <w:r>
              <w:rPr>
                <w:rFonts w:ascii="Microsoft YaHei" w:hAnsi="Microsoft YaHei" w:eastAsia="微软雅黑"/>
                <w:b/>
                <w:color w:val="FFFFFF"/>
                <w:sz w:val="18"/>
              </w:rPr>
              <w:t>标题</w:t>
            </w:r>
          </w:p>
        </w:tc>
        <w:tc>
          <w:tcPr>
            <w:tcW w:type="dxa" w:w="1728"/>
            <w:vAlign w:val="top"/>
            <w:shd w:fill="0F766D"/>
          </w:tcPr>
          <w:p>
            <w:pPr>
              <w:spacing w:after="0"/>
            </w:pPr>
            <w:r/>
            <w:r>
              <w:rPr>
                <w:rFonts w:ascii="Microsoft YaHei" w:hAnsi="Microsoft YaHei" w:eastAsia="微软雅黑"/>
                <w:b/>
                <w:color w:val="FFFFFF"/>
                <w:sz w:val="18"/>
              </w:rPr>
              <w:t>产品信息</w:t>
            </w:r>
          </w:p>
        </w:tc>
        <w:tc>
          <w:tcPr>
            <w:tcW w:type="dxa" w:w="3240"/>
            <w:vAlign w:val="top"/>
            <w:shd w:fill="0F766D"/>
          </w:tcPr>
          <w:p>
            <w:pPr>
              <w:spacing w:after="0"/>
            </w:pPr>
            <w:r/>
            <w:r>
              <w:rPr>
                <w:rFonts w:ascii="Microsoft YaHei" w:hAnsi="Microsoft YaHei" w:eastAsia="微软雅黑"/>
                <w:b/>
                <w:color w:val="FFFFFF"/>
                <w:sz w:val="18"/>
              </w:rPr>
              <w:t>内容概要</w:t>
            </w:r>
          </w:p>
        </w:tc>
      </w:tr>
      <w:tr>
        <w:tc>
          <w:tcPr>
            <w:tcW w:type="dxa" w:w="1152"/>
            <w:vAlign w:val="top"/>
          </w:tcPr>
          <w:p>
            <w:pPr>
              <w:spacing w:after="0"/>
            </w:pPr>
            <w:r/>
            <w:r>
              <w:rPr>
                <w:rFonts w:ascii="Microsoft YaHei" w:hAnsi="Microsoft YaHei" w:eastAsia="微软雅黑"/>
                <w:b w:val="0"/>
                <w:sz w:val="18"/>
              </w:rPr>
              <w:t>2026-06-13</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李危石 / 北京大学第三医院</w:t>
            </w:r>
          </w:p>
        </w:tc>
        <w:tc>
          <w:tcPr>
            <w:tcW w:type="dxa" w:w="2592"/>
            <w:vAlign w:val="top"/>
          </w:tcPr>
          <w:p>
            <w:pPr>
              <w:spacing w:after="0"/>
            </w:pPr>
            <w:r/>
            <w:r>
              <w:rPr>
                <w:rFonts w:ascii="Microsoft YaHei" w:hAnsi="Microsoft YaHei" w:eastAsia="微软雅黑"/>
                <w:b w:val="0"/>
                <w:sz w:val="18"/>
              </w:rPr>
              <w:t>自动腰部肌肉分割与成人退行性脊柱侧凸分段任何模型。</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研究主题：自动腰部肌肉分割与成人退行性脊柱侧凸分段任何模型。摘要要点：目的：本研究旨在开发一种基于Segment Anything Model（SAM）的自动腰肌分割和处理工具，并探讨成人退行性脊柱侧凸（ADS）患者腰肌退变与冠状参数之间的关联。方法：纳入 56 名 ADS 患者。（详见网站明细）</w:t>
            </w:r>
          </w:p>
        </w:tc>
      </w:tr>
      <w:tr>
        <w:tc>
          <w:tcPr>
            <w:tcW w:type="dxa" w:w="1152"/>
            <w:vAlign w:val="top"/>
          </w:tcPr>
          <w:p>
            <w:pPr>
              <w:spacing w:after="0"/>
            </w:pPr>
            <w:r/>
            <w:r>
              <w:rPr>
                <w:rFonts w:ascii="Microsoft YaHei" w:hAnsi="Microsoft YaHei" w:eastAsia="微软雅黑"/>
                <w:b w:val="0"/>
                <w:sz w:val="18"/>
              </w:rPr>
              <w:t>2026-06-13</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杨东 / 华中科技大学同济医学院附属协和医院</w:t>
            </w:r>
          </w:p>
        </w:tc>
        <w:tc>
          <w:tcPr>
            <w:tcW w:type="dxa" w:w="2592"/>
            <w:vAlign w:val="top"/>
          </w:tcPr>
          <w:p>
            <w:pPr>
              <w:spacing w:after="0"/>
            </w:pPr>
            <w:r/>
            <w:r>
              <w:rPr>
                <w:rFonts w:ascii="Microsoft YaHei" w:hAnsi="Microsoft YaHei" w:eastAsia="微软雅黑"/>
                <w:b w:val="0"/>
                <w:sz w:val="18"/>
              </w:rPr>
              <w:t>通过针对小胶质细胞减轻神经病理性疼痛的神经调节技术：叙述性评论。</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通过针对小胶质细胞减轻神经病理性疼痛的神经调节技术：叙述性评论。摘要要点：近年来，神经性疼痛（NP）引起了越来越多的关注；然而，其发病机制仍不完全清楚，治疗选择仍然有限。神经调节技术在治疗 NP 方面已显示出巨大的前景，其优点包括无创、最小的不适和精确的解剖定位。（详见网站明细）</w:t>
            </w:r>
          </w:p>
        </w:tc>
      </w:tr>
      <w:tr>
        <w:tc>
          <w:tcPr>
            <w:tcW w:type="dxa" w:w="1152"/>
            <w:vAlign w:val="top"/>
          </w:tcPr>
          <w:p>
            <w:pPr>
              <w:spacing w:after="0"/>
            </w:pPr>
            <w:r/>
            <w:r>
              <w:rPr>
                <w:rFonts w:ascii="Microsoft YaHei" w:hAnsi="Microsoft YaHei" w:eastAsia="微软雅黑"/>
                <w:b w:val="0"/>
                <w:sz w:val="18"/>
              </w:rPr>
              <w:t>2026-06-12</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孙涛 / 山东省立医院</w:t>
            </w:r>
          </w:p>
        </w:tc>
        <w:tc>
          <w:tcPr>
            <w:tcW w:type="dxa" w:w="2592"/>
            <w:vAlign w:val="top"/>
          </w:tcPr>
          <w:p>
            <w:pPr>
              <w:spacing w:after="0"/>
            </w:pPr>
            <w:r/>
            <w:r>
              <w:rPr>
                <w:rFonts w:ascii="Microsoft YaHei" w:hAnsi="Microsoft YaHei" w:eastAsia="微软雅黑"/>
                <w:b w:val="0"/>
                <w:sz w:val="18"/>
              </w:rPr>
              <w:t>昼夜疼痛波动的生物学基础：从分子钟到临床干预。</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昼夜疼痛波动的生物学基础：从分子钟到临床干预。摘要要点：疼痛表现出显着的昼夜节律特征，与生物钟具有双向调节关系。昼夜节律紊乱已被证实是各种慢性疼痛的重要危险因素，严重影响患者的疼痛感知和治疗反应。（详见网站明细）</w:t>
            </w:r>
          </w:p>
        </w:tc>
      </w:tr>
      <w:tr>
        <w:tc>
          <w:tcPr>
            <w:tcW w:type="dxa" w:w="1152"/>
            <w:vAlign w:val="top"/>
          </w:tcPr>
          <w:p>
            <w:pPr>
              <w:spacing w:after="0"/>
            </w:pPr>
            <w:r/>
            <w:r>
              <w:rPr>
                <w:rFonts w:ascii="Microsoft YaHei" w:hAnsi="Microsoft YaHei" w:eastAsia="微软雅黑"/>
                <w:b w:val="0"/>
                <w:sz w:val="18"/>
              </w:rPr>
              <w:t>2026-06-03</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周非非 / 北京大学第三医院</w:t>
            </w:r>
          </w:p>
        </w:tc>
        <w:tc>
          <w:tcPr>
            <w:tcW w:type="dxa" w:w="2592"/>
            <w:vAlign w:val="top"/>
          </w:tcPr>
          <w:p>
            <w:pPr>
              <w:spacing w:after="0"/>
            </w:pPr>
            <w:r/>
            <w:r>
              <w:rPr>
                <w:rFonts w:ascii="Microsoft YaHei" w:hAnsi="Microsoft YaHei" w:eastAsia="微软雅黑"/>
                <w:b w:val="0"/>
                <w:sz w:val="18"/>
              </w:rPr>
              <w:t>较低的深浅伸肌比（DSR）是单节段颈椎前路椎体切除融合术后早期钛植入物下沉的独立危险因素。</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研究主题：较低的深浅伸肌比（DSR）是单节段颈椎前路椎体切除融合术后早期钛植入物下沉的独立危险因素。摘要要点：目的 研究颈椎旁肌特征对单节段颈椎前路椎体切除融合术 (ACCF) 后早期植入物下沉的影响。对 110 例接受单节段 ACCF 钛种植体的患者进行了回顾性分析。（详见网站明细）</w:t>
            </w:r>
          </w:p>
        </w:tc>
      </w:tr>
      <w:tr>
        <w:tc>
          <w:tcPr>
            <w:tcW w:type="dxa" w:w="1152"/>
            <w:vAlign w:val="top"/>
          </w:tcPr>
          <w:p>
            <w:pPr>
              <w:spacing w:after="0"/>
            </w:pPr>
            <w:r/>
            <w:r>
              <w:rPr>
                <w:rFonts w:ascii="Microsoft YaHei" w:hAnsi="Microsoft YaHei" w:eastAsia="微软雅黑"/>
                <w:b w:val="0"/>
                <w:sz w:val="18"/>
              </w:rPr>
              <w:t>2026-06-02</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周非非 / 北京大学第三医院</w:t>
            </w:r>
          </w:p>
        </w:tc>
        <w:tc>
          <w:tcPr>
            <w:tcW w:type="dxa" w:w="2592"/>
            <w:vAlign w:val="top"/>
          </w:tcPr>
          <w:p>
            <w:pPr>
              <w:spacing w:after="0"/>
            </w:pPr>
            <w:r/>
            <w:r>
              <w:rPr>
                <w:rFonts w:ascii="Microsoft YaHei" w:hAnsi="Microsoft YaHei" w:eastAsia="微软雅黑"/>
                <w:b w:val="0"/>
                <w:sz w:val="18"/>
              </w:rPr>
              <w:t>腰椎手术后迟发性硬脑膜撕裂导致脑脊液漏的发生率和处理。</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腰椎手术后迟发性硬脑膜撕裂导致脑脊液漏的发生率和处理。摘要要点：目的：探讨腰椎手术后迟发性硬脑膜撕裂（LPDT）所致脑脊液漏的发生情况及治疗方法，为临床处理提供新的思路和治疗方案。（详见网站明细）</w:t>
            </w:r>
          </w:p>
        </w:tc>
      </w:tr>
      <w:tr>
        <w:tc>
          <w:tcPr>
            <w:tcW w:type="dxa" w:w="1152"/>
            <w:vAlign w:val="top"/>
          </w:tcPr>
          <w:p>
            <w:pPr>
              <w:spacing w:after="0"/>
            </w:pPr>
            <w:r/>
            <w:r>
              <w:rPr>
                <w:rFonts w:ascii="Microsoft YaHei" w:hAnsi="Microsoft YaHei" w:eastAsia="微软雅黑"/>
                <w:b w:val="0"/>
                <w:sz w:val="18"/>
              </w:rPr>
              <w:t>2026-06-02</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杨操 / 华中科技大学同济医学院附属协和医院</w:t>
            </w:r>
          </w:p>
        </w:tc>
        <w:tc>
          <w:tcPr>
            <w:tcW w:type="dxa" w:w="2592"/>
            <w:vAlign w:val="top"/>
          </w:tcPr>
          <w:p>
            <w:pPr>
              <w:spacing w:after="0"/>
            </w:pPr>
            <w:r/>
            <w:r>
              <w:rPr>
                <w:rFonts w:ascii="Microsoft YaHei" w:hAnsi="Microsoft YaHei" w:eastAsia="微软雅黑"/>
                <w:b w:val="0"/>
                <w:sz w:val="18"/>
              </w:rPr>
              <w:t>代谢工程益生菌 OMV 作为纳米疫苗介导慢性骨感染免疫治疗的序贯免疫调节。</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研究主题：代谢工程益生菌 OMV 作为纳米疫苗介导慢性骨感染免疫治疗的序贯免疫调节。摘要要点：由耐甲氧西林金黄色葡萄球菌 (MRSA) 引起的慢性耐药性骨感染具有免疫抑制作用，可导致持续感染和骨愈合受损。特定的治疗需要首先激活抗菌免疫来抵抗感染，然后重塑抗炎微环境以进行后续的骨修复。（详见网站明细）</w:t>
            </w:r>
          </w:p>
        </w:tc>
      </w:tr>
      <w:tr>
        <w:tc>
          <w:tcPr>
            <w:tcW w:type="dxa" w:w="1152"/>
            <w:vAlign w:val="top"/>
          </w:tcPr>
          <w:p>
            <w:pPr>
              <w:spacing w:after="0"/>
            </w:pPr>
            <w:r/>
            <w:r>
              <w:rPr>
                <w:rFonts w:ascii="Microsoft YaHei" w:hAnsi="Microsoft YaHei" w:eastAsia="微软雅黑"/>
                <w:b w:val="0"/>
                <w:sz w:val="18"/>
              </w:rPr>
              <w:t>2026-06-01</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张忠民 / 南方医科大学南方医院</w:t>
            </w:r>
          </w:p>
        </w:tc>
        <w:tc>
          <w:tcPr>
            <w:tcW w:type="dxa" w:w="2592"/>
            <w:vAlign w:val="top"/>
          </w:tcPr>
          <w:p>
            <w:pPr>
              <w:spacing w:after="0"/>
            </w:pPr>
            <w:r/>
            <w:r>
              <w:rPr>
                <w:rFonts w:ascii="Microsoft YaHei" w:hAnsi="Microsoft YaHei" w:eastAsia="微软雅黑"/>
                <w:b w:val="0"/>
                <w:sz w:val="18"/>
              </w:rPr>
              <w:t>老年患者脊柱术后一个月衰弱的围手术期危险因素和风险模型。</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老年患者脊柱术后一个月衰弱的围手术期危险因素和风险模型。摘要要点：目的：本研究旨在评估接受脊柱手术的老年患者术后1个月衰弱的发生率，并建立围手术期风险模型，以支持有针对性的医疗预防策略，并有助于早期识别高危患者。（详见网站明细）</w:t>
            </w:r>
          </w:p>
        </w:tc>
      </w:tr>
    </w:tbl>
    <w:p>
      <w:pPr>
        <w:pStyle w:val="Heading1"/>
      </w:pPr>
      <w:r>
        <w:t>五、涉及分子/靶点</w:t>
      </w:r>
    </w:p>
    <w:tbl>
      <w:tblPr>
        <w:tblStyle w:val="TableGrid"/>
        <w:tblW w:type="auto" w:w="0"/>
        <w:jc w:val="center"/>
        <w:tblLook w:firstColumn="1" w:firstRow="1" w:lastColumn="0" w:lastRow="0" w:noHBand="0" w:noVBand="1" w:val="04A0"/>
      </w:tblPr>
      <w:tblGrid>
        <w:gridCol w:w="5184"/>
        <w:gridCol w:w="5184"/>
      </w:tblGrid>
      <w:tr>
        <w:tc>
          <w:tcPr>
            <w:tcW w:type="dxa" w:w="7920"/>
            <w:vAlign w:val="top"/>
            <w:shd w:fill="0F766D"/>
          </w:tcPr>
          <w:p>
            <w:pPr>
              <w:spacing w:after="0"/>
            </w:pPr>
            <w:r/>
            <w:r>
              <w:rPr>
                <w:rFonts w:ascii="Microsoft YaHei" w:hAnsi="Microsoft YaHei" w:eastAsia="微软雅黑"/>
                <w:b/>
                <w:color w:val="FFFFFF"/>
                <w:sz w:val="18"/>
              </w:rPr>
              <w:t>分子/靶点/通用名</w:t>
            </w:r>
          </w:p>
        </w:tc>
        <w:tc>
          <w:tcPr>
            <w:tcW w:type="dxa" w:w="1584"/>
            <w:vAlign w:val="top"/>
            <w:shd w:fill="0F766D"/>
          </w:tcPr>
          <w:p>
            <w:pPr>
              <w:spacing w:after="0"/>
            </w:pPr>
            <w:r/>
            <w:r>
              <w:rPr>
                <w:rFonts w:ascii="Microsoft YaHei" w:hAnsi="Microsoft YaHei" w:eastAsia="微软雅黑"/>
                <w:b/>
                <w:color w:val="FFFFFF"/>
                <w:sz w:val="18"/>
              </w:rPr>
              <w:t>出现次数</w:t>
            </w:r>
          </w:p>
        </w:tc>
      </w:tr>
      <w:tr>
        <w:tc>
          <w:tcPr>
            <w:tcW w:type="dxa" w:w="7920"/>
            <w:vAlign w:val="top"/>
          </w:tcPr>
          <w:p>
            <w:pPr>
              <w:spacing w:after="0"/>
            </w:pPr>
            <w:r/>
            <w:r>
              <w:rPr>
                <w:rFonts w:ascii="Microsoft YaHei" w:hAnsi="Microsoft YaHei" w:eastAsia="微软雅黑"/>
                <w:b w:val="0"/>
                <w:sz w:val="18"/>
              </w:rPr>
              <w:t>Pregabalin / C8H17NO2</w:t>
            </w:r>
          </w:p>
        </w:tc>
        <w:tc>
          <w:tcPr>
            <w:tcW w:type="dxa" w:w="1584"/>
            <w:vAlign w:val="top"/>
          </w:tcPr>
          <w:p>
            <w:pPr>
              <w:spacing w:after="0"/>
            </w:pPr>
            <w:r/>
            <w:r>
              <w:rPr>
                <w:rFonts w:ascii="Microsoft YaHei" w:hAnsi="Microsoft YaHei" w:eastAsia="微软雅黑"/>
                <w:b w:val="0"/>
                <w:sz w:val="18"/>
              </w:rPr>
              <w:t>115</w:t>
            </w:r>
          </w:p>
        </w:tc>
      </w:tr>
      <w:tr>
        <w:tc>
          <w:tcPr>
            <w:tcW w:type="dxa" w:w="7920"/>
            <w:vAlign w:val="top"/>
          </w:tcPr>
          <w:p>
            <w:pPr>
              <w:spacing w:after="0"/>
            </w:pPr>
            <w:r/>
            <w:r>
              <w:rPr>
                <w:rFonts w:ascii="Microsoft YaHei" w:hAnsi="Microsoft YaHei" w:eastAsia="微软雅黑"/>
                <w:b w:val="0"/>
                <w:sz w:val="18"/>
              </w:rPr>
              <w:t>利多卡因 / lidocaine / C14H22N2O</w:t>
            </w:r>
          </w:p>
        </w:tc>
        <w:tc>
          <w:tcPr>
            <w:tcW w:type="dxa" w:w="1584"/>
            <w:vAlign w:val="top"/>
          </w:tcPr>
          <w:p>
            <w:pPr>
              <w:spacing w:after="0"/>
            </w:pPr>
            <w:r/>
            <w:r>
              <w:rPr>
                <w:rFonts w:ascii="Microsoft YaHei" w:hAnsi="Microsoft YaHei" w:eastAsia="微软雅黑"/>
                <w:b w:val="0"/>
                <w:sz w:val="18"/>
              </w:rPr>
              <w:t>18</w:t>
            </w:r>
          </w:p>
        </w:tc>
      </w:tr>
      <w:tr>
        <w:tc>
          <w:tcPr>
            <w:tcW w:type="dxa" w:w="7920"/>
            <w:vAlign w:val="top"/>
          </w:tcPr>
          <w:p>
            <w:pPr>
              <w:spacing w:after="0"/>
            </w:pPr>
            <w:r/>
            <w:r>
              <w:rPr>
                <w:rFonts w:ascii="Microsoft YaHei" w:hAnsi="Microsoft YaHei" w:eastAsia="微软雅黑"/>
                <w:b w:val="0"/>
                <w:sz w:val="18"/>
              </w:rPr>
              <w:t>加巴喷丁 / gabapentin / C9H17NO2</w:t>
            </w:r>
          </w:p>
        </w:tc>
        <w:tc>
          <w:tcPr>
            <w:tcW w:type="dxa" w:w="1584"/>
            <w:vAlign w:val="top"/>
          </w:tcPr>
          <w:p>
            <w:pPr>
              <w:spacing w:after="0"/>
            </w:pPr>
            <w:r/>
            <w:r>
              <w:rPr>
                <w:rFonts w:ascii="Microsoft YaHei" w:hAnsi="Microsoft YaHei" w:eastAsia="微软雅黑"/>
                <w:b w:val="0"/>
                <w:sz w:val="18"/>
              </w:rPr>
              <w:t>13</w:t>
            </w:r>
          </w:p>
        </w:tc>
      </w:tr>
      <w:tr>
        <w:tc>
          <w:tcPr>
            <w:tcW w:type="dxa" w:w="7920"/>
            <w:vAlign w:val="top"/>
          </w:tcPr>
          <w:p>
            <w:pPr>
              <w:spacing w:after="0"/>
            </w:pPr>
            <w:r/>
            <w:r>
              <w:rPr>
                <w:rFonts w:ascii="Microsoft YaHei" w:hAnsi="Microsoft YaHei" w:eastAsia="微软雅黑"/>
                <w:b w:val="0"/>
                <w:sz w:val="18"/>
              </w:rPr>
              <w:t>卡马西平 / carbamazepine / C15H12N2O</w:t>
            </w:r>
          </w:p>
        </w:tc>
        <w:tc>
          <w:tcPr>
            <w:tcW w:type="dxa" w:w="1584"/>
            <w:vAlign w:val="top"/>
          </w:tcPr>
          <w:p>
            <w:pPr>
              <w:spacing w:after="0"/>
            </w:pPr>
            <w:r/>
            <w:r>
              <w:rPr>
                <w:rFonts w:ascii="Microsoft YaHei" w:hAnsi="Microsoft YaHei" w:eastAsia="微软雅黑"/>
                <w:b w:val="0"/>
                <w:sz w:val="18"/>
              </w:rPr>
              <w:t>11</w:t>
            </w:r>
          </w:p>
        </w:tc>
      </w:tr>
      <w:tr>
        <w:tc>
          <w:tcPr>
            <w:tcW w:type="dxa" w:w="7920"/>
            <w:vAlign w:val="top"/>
          </w:tcPr>
          <w:p>
            <w:pPr>
              <w:spacing w:after="0"/>
            </w:pPr>
            <w:r/>
            <w:r>
              <w:rPr>
                <w:rFonts w:ascii="Microsoft YaHei" w:hAnsi="Microsoft YaHei" w:eastAsia="微软雅黑"/>
                <w:b w:val="0"/>
                <w:sz w:val="18"/>
              </w:rPr>
              <w:t>拉考沙胺 / lacosamide / C13H18N2O3</w:t>
            </w:r>
          </w:p>
        </w:tc>
        <w:tc>
          <w:tcPr>
            <w:tcW w:type="dxa" w:w="1584"/>
            <w:vAlign w:val="top"/>
          </w:tcPr>
          <w:p>
            <w:pPr>
              <w:spacing w:after="0"/>
            </w:pPr>
            <w:r/>
            <w:r>
              <w:rPr>
                <w:rFonts w:ascii="Microsoft YaHei" w:hAnsi="Microsoft YaHei" w:eastAsia="微软雅黑"/>
                <w:b w:val="0"/>
                <w:sz w:val="18"/>
              </w:rPr>
              <w:t>11</w:t>
            </w:r>
          </w:p>
        </w:tc>
      </w:tr>
      <w:tr>
        <w:tc>
          <w:tcPr>
            <w:tcW w:type="dxa" w:w="7920"/>
            <w:vAlign w:val="top"/>
          </w:tcPr>
          <w:p>
            <w:pPr>
              <w:spacing w:after="0"/>
            </w:pPr>
            <w:r/>
            <w:r>
              <w:rPr>
                <w:rFonts w:ascii="Microsoft YaHei" w:hAnsi="Microsoft YaHei" w:eastAsia="微软雅黑"/>
                <w:b w:val="0"/>
                <w:sz w:val="18"/>
              </w:rPr>
              <w:t>辣椒素 / capsaicin / C18H27NO3</w:t>
            </w:r>
          </w:p>
        </w:tc>
        <w:tc>
          <w:tcPr>
            <w:tcW w:type="dxa" w:w="1584"/>
            <w:vAlign w:val="top"/>
          </w:tcPr>
          <w:p>
            <w:pPr>
              <w:spacing w:after="0"/>
            </w:pPr>
            <w:r/>
            <w:r>
              <w:rPr>
                <w:rFonts w:ascii="Microsoft YaHei" w:hAnsi="Microsoft YaHei" w:eastAsia="微软雅黑"/>
                <w:b w:val="0"/>
                <w:sz w:val="18"/>
              </w:rPr>
              <w:t>11</w:t>
            </w:r>
          </w:p>
        </w:tc>
      </w:tr>
      <w:tr>
        <w:tc>
          <w:tcPr>
            <w:tcW w:type="dxa" w:w="7920"/>
            <w:vAlign w:val="top"/>
          </w:tcPr>
          <w:p>
            <w:pPr>
              <w:spacing w:after="0"/>
            </w:pPr>
            <w:r/>
            <w:r>
              <w:rPr>
                <w:rFonts w:ascii="Microsoft YaHei" w:hAnsi="Microsoft YaHei" w:eastAsia="微软雅黑"/>
                <w:b w:val="0"/>
                <w:sz w:val="18"/>
              </w:rPr>
              <w:t>普瑞巴林 / pregabalin / C8H17NO2</w:t>
            </w:r>
          </w:p>
        </w:tc>
        <w:tc>
          <w:tcPr>
            <w:tcW w:type="dxa" w:w="1584"/>
            <w:vAlign w:val="top"/>
          </w:tcPr>
          <w:p>
            <w:pPr>
              <w:spacing w:after="0"/>
            </w:pPr>
            <w:r/>
            <w:r>
              <w:rPr>
                <w:rFonts w:ascii="Microsoft YaHei" w:hAnsi="Microsoft YaHei" w:eastAsia="微软雅黑"/>
                <w:b w:val="0"/>
                <w:sz w:val="18"/>
              </w:rPr>
              <w:t>10</w:t>
            </w:r>
          </w:p>
        </w:tc>
      </w:tr>
      <w:tr>
        <w:tc>
          <w:tcPr>
            <w:tcW w:type="dxa" w:w="7920"/>
            <w:vAlign w:val="top"/>
          </w:tcPr>
          <w:p>
            <w:pPr>
              <w:spacing w:after="0"/>
            </w:pPr>
            <w:r/>
            <w:r>
              <w:rPr>
                <w:rFonts w:ascii="Microsoft YaHei" w:hAnsi="Microsoft YaHei" w:eastAsia="微软雅黑"/>
                <w:b w:val="0"/>
                <w:sz w:val="18"/>
              </w:rPr>
              <w:t>盐酸度洛西汀 / duloxetine hydrochloride / C18H20ClNOS</w:t>
            </w:r>
          </w:p>
        </w:tc>
        <w:tc>
          <w:tcPr>
            <w:tcW w:type="dxa" w:w="1584"/>
            <w:vAlign w:val="top"/>
          </w:tcPr>
          <w:p>
            <w:pPr>
              <w:spacing w:after="0"/>
            </w:pPr>
            <w:r/>
            <w:r>
              <w:rPr>
                <w:rFonts w:ascii="Microsoft YaHei" w:hAnsi="Microsoft YaHei" w:eastAsia="微软雅黑"/>
                <w:b w:val="0"/>
                <w:sz w:val="18"/>
              </w:rPr>
              <w:t>10</w:t>
            </w:r>
          </w:p>
        </w:tc>
      </w:tr>
      <w:tr>
        <w:tc>
          <w:tcPr>
            <w:tcW w:type="dxa" w:w="7920"/>
            <w:vAlign w:val="top"/>
          </w:tcPr>
          <w:p>
            <w:pPr>
              <w:spacing w:after="0"/>
            </w:pPr>
            <w:r/>
            <w:r>
              <w:rPr>
                <w:rFonts w:ascii="Microsoft YaHei" w:hAnsi="Microsoft YaHei" w:eastAsia="微软雅黑"/>
                <w:b w:val="0"/>
                <w:sz w:val="18"/>
              </w:rPr>
              <w:t>盐酸阿米替林 / amitriptyline hydrochloride / C20H24ClN</w:t>
            </w:r>
          </w:p>
        </w:tc>
        <w:tc>
          <w:tcPr>
            <w:tcW w:type="dxa" w:w="1584"/>
            <w:vAlign w:val="top"/>
          </w:tcPr>
          <w:p>
            <w:pPr>
              <w:spacing w:after="0"/>
            </w:pPr>
            <w:r/>
            <w:r>
              <w:rPr>
                <w:rFonts w:ascii="Microsoft YaHei" w:hAnsi="Microsoft YaHei" w:eastAsia="微软雅黑"/>
                <w:b w:val="0"/>
                <w:sz w:val="18"/>
              </w:rPr>
              <w:t>10</w:t>
            </w:r>
          </w:p>
        </w:tc>
      </w:tr>
      <w:tr>
        <w:tc>
          <w:tcPr>
            <w:tcW w:type="dxa" w:w="7920"/>
            <w:vAlign w:val="top"/>
          </w:tcPr>
          <w:p>
            <w:pPr>
              <w:spacing w:after="0"/>
            </w:pPr>
            <w:r/>
            <w:r>
              <w:rPr>
                <w:rFonts w:ascii="Microsoft YaHei" w:hAnsi="Microsoft YaHei" w:eastAsia="微软雅黑"/>
                <w:b w:val="0"/>
                <w:sz w:val="18"/>
              </w:rPr>
              <w:t>拉莫三嗪 / lamotrigine / C9H7Cl2N5</w:t>
            </w:r>
          </w:p>
        </w:tc>
        <w:tc>
          <w:tcPr>
            <w:tcW w:type="dxa" w:w="1584"/>
            <w:vAlign w:val="top"/>
          </w:tcPr>
          <w:p>
            <w:pPr>
              <w:spacing w:after="0"/>
            </w:pPr>
            <w:r/>
            <w:r>
              <w:rPr>
                <w:rFonts w:ascii="Microsoft YaHei" w:hAnsi="Microsoft YaHei" w:eastAsia="微软雅黑"/>
                <w:b w:val="0"/>
                <w:sz w:val="18"/>
              </w:rPr>
              <w:t>5</w:t>
            </w:r>
          </w:p>
        </w:tc>
      </w:tr>
      <w:tr>
        <w:tc>
          <w:tcPr>
            <w:tcW w:type="dxa" w:w="7920"/>
            <w:vAlign w:val="top"/>
          </w:tcPr>
          <w:p>
            <w:pPr>
              <w:spacing w:after="0"/>
            </w:pPr>
            <w:r/>
            <w:r>
              <w:rPr>
                <w:rFonts w:ascii="Microsoft YaHei" w:hAnsi="Microsoft YaHei" w:eastAsia="微软雅黑"/>
                <w:b w:val="0"/>
                <w:sz w:val="18"/>
              </w:rPr>
              <w:t>盐酸文拉法辛 / venlafaxine hydrochloride / C17H28ClNO2</w:t>
            </w:r>
          </w:p>
        </w:tc>
        <w:tc>
          <w:tcPr>
            <w:tcW w:type="dxa" w:w="1584"/>
            <w:vAlign w:val="top"/>
          </w:tcPr>
          <w:p>
            <w:pPr>
              <w:spacing w:after="0"/>
            </w:pPr>
            <w:r/>
            <w:r>
              <w:rPr>
                <w:rFonts w:ascii="Microsoft YaHei" w:hAnsi="Microsoft YaHei" w:eastAsia="微软雅黑"/>
                <w:b w:val="0"/>
                <w:sz w:val="18"/>
              </w:rPr>
              <w:t>4</w:t>
            </w:r>
          </w:p>
        </w:tc>
      </w:tr>
      <w:tr>
        <w:tc>
          <w:tcPr>
            <w:tcW w:type="dxa" w:w="7920"/>
            <w:vAlign w:val="top"/>
          </w:tcPr>
          <w:p>
            <w:pPr>
              <w:spacing w:after="0"/>
            </w:pPr>
            <w:r/>
            <w:r>
              <w:rPr>
                <w:rFonts w:ascii="Microsoft YaHei" w:hAnsi="Microsoft YaHei" w:eastAsia="微软雅黑"/>
                <w:b w:val="0"/>
                <w:sz w:val="18"/>
              </w:rPr>
              <w:t>托吡酯 / topiramate / C12H21NO8S</w:t>
            </w:r>
          </w:p>
        </w:tc>
        <w:tc>
          <w:tcPr>
            <w:tcW w:type="dxa" w:w="1584"/>
            <w:vAlign w:val="top"/>
          </w:tcPr>
          <w:p>
            <w:pPr>
              <w:spacing w:after="0"/>
            </w:pPr>
            <w:r/>
            <w:r>
              <w:rPr>
                <w:rFonts w:ascii="Microsoft YaHei" w:hAnsi="Microsoft YaHei" w:eastAsia="微软雅黑"/>
                <w:b w:val="0"/>
                <w:sz w:val="18"/>
              </w:rPr>
              <w:t>4</w:t>
            </w:r>
          </w:p>
        </w:tc>
      </w:tr>
    </w:tbl>
    <w:p>
      <w:pPr>
        <w:pStyle w:val="Heading1"/>
      </w:pPr>
      <w:r>
        <w:t>六、建议跟进</w:t>
      </w:r>
    </w:p>
    <w:p>
      <w:pPr>
        <w:pStyle w:val="ListBullet"/>
      </w:pPr>
      <w:r>
        <w:rPr>
          <w:rFonts w:ascii="Microsoft YaHei" w:hAnsi="Microsoft YaHei" w:eastAsia="微软雅黑"/>
          <w:sz w:val="21"/>
        </w:rPr>
        <w:t>Clinical｜普瑞巴林相关 ClinicalTrials.gov 临床研究更新（NCT03216187）：建议结合研究设计、入排标准、终点和安全性信息判断对本品医学沟通、竞品监测或风险沟通的影响。</w:t>
      </w:r>
    </w:p>
    <w:p>
      <w:pPr>
        <w:pStyle w:val="ListBullet"/>
      </w:pPr>
      <w:r>
        <w:rPr>
          <w:rFonts w:ascii="Microsoft YaHei" w:hAnsi="Microsoft YaHei" w:eastAsia="微软雅黑"/>
          <w:sz w:val="21"/>
        </w:rPr>
        <w:t>Clinical｜盐酸阿米替林相关 ClinicalTrials.gov 临床研究更新（NCT07655440）：建议结合研究设计、入排标准、终点和安全性信息判断对本品医学沟通、竞品监测或风险沟通的影响。</w:t>
      </w:r>
    </w:p>
    <w:p>
      <w:pPr>
        <w:pStyle w:val="ListBullet"/>
      </w:pPr>
      <w:r>
        <w:rPr>
          <w:rFonts w:ascii="Microsoft YaHei" w:hAnsi="Microsoft YaHei" w:eastAsia="微软雅黑"/>
          <w:sz w:val="21"/>
        </w:rPr>
        <w:t>Clinical｜利多卡因相关 ClinicalTrials.gov 临床研究更新（NCT07429292）：建议结合研究设计、入排标准、终点和安全性信息判断对本品医学沟通、竞品监测或风险沟通的影响。</w:t>
      </w:r>
    </w:p>
    <w:p>
      <w:pPr>
        <w:pStyle w:val="ListBullet"/>
      </w:pPr>
      <w:r>
        <w:rPr>
          <w:rFonts w:ascii="Microsoft YaHei" w:hAnsi="Microsoft YaHei" w:eastAsia="微软雅黑"/>
          <w:sz w:val="21"/>
        </w:rPr>
        <w:t>Clinical｜托吡酯相关 ClinicalTrials.gov 临床研究更新（NCT06972056）：建议结合研究设计、入排标准、终点和安全性信息判断对本品医学沟通、竞品监测或风险沟通的影响。</w:t>
      </w:r>
    </w:p>
    <w:p>
      <w:pPr>
        <w:pStyle w:val="ListBullet"/>
      </w:pPr>
      <w:r>
        <w:rPr>
          <w:rFonts w:ascii="Microsoft YaHei" w:hAnsi="Microsoft YaHei" w:eastAsia="微软雅黑"/>
          <w:sz w:val="21"/>
        </w:rPr>
        <w:t>Clinical｜辣椒素相关 ClinicalTrials.gov 临床研究更新（NCT05997979）：建议结合研究设计、入排标准、终点和安全性信息判断对本品医学沟通、竞品监测或风险沟通的影响。</w:t>
      </w:r>
    </w:p>
    <w:p>
      <w:pPr>
        <w:pStyle w:val="ListBullet"/>
      </w:pPr>
      <w:r>
        <w:rPr>
          <w:rFonts w:ascii="Microsoft YaHei" w:hAnsi="Microsoft YaHei" w:eastAsia="微软雅黑"/>
          <w:sz w:val="21"/>
        </w:rPr>
        <w:t>专家侧建议优先核对高频专家/机构与产品线的关联，必要时补充会议报道原文和论文全文。</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84F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722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084F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