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左洛复｜2026年6月关注报告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138</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61</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26</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15</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9</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5</w:t>
            </w:r>
          </w:p>
        </w:tc>
      </w:tr>
    </w:tbl>
    <w:p>
      <w:pPr>
        <w:pStyle w:val="Heading1"/>
      </w:pPr>
      <w:r>
        <w:t>二、本月结论</w:t>
      </w:r>
    </w:p>
    <w:p>
      <w:pPr>
        <w:pStyle w:val="ListBullet"/>
      </w:pPr>
      <w:r>
        <w:rPr>
          <w:rFonts w:ascii="Microsoft YaHei" w:hAnsi="Microsoft YaHei" w:eastAsia="微软雅黑"/>
          <w:sz w:val="21"/>
        </w:rPr>
        <w:t>6月共纳入 138 条产品/竞品研究进展，其中 61 条建议跟进，26 条为高证据。</w:t>
      </w:r>
    </w:p>
    <w:p>
      <w:pPr>
        <w:pStyle w:val="ListBullet"/>
      </w:pPr>
      <w:r>
        <w:rPr>
          <w:rFonts w:ascii="Microsoft YaHei" w:hAnsi="Microsoft YaHei" w:eastAsia="微软雅黑"/>
          <w:sz w:val="21"/>
        </w:rPr>
        <w:t>产品进展主要来源于：PubMed 104条；Clinical 32条；万方 2条。</w:t>
      </w:r>
    </w:p>
    <w:p>
      <w:pPr>
        <w:pStyle w:val="ListBullet"/>
      </w:pPr>
      <w:r>
        <w:rPr>
          <w:rFonts w:ascii="Microsoft YaHei" w:hAnsi="Microsoft YaHei" w:eastAsia="微软雅黑"/>
          <w:sz w:val="21"/>
        </w:rPr>
        <w:t>本月关注口径集中在：潜在/新机制；Spravato；潜在/新机制；COMP360 等；本品/同成分；左洛复/Zoloft；直接竞品；百忧解/Prozac。</w:t>
      </w:r>
    </w:p>
    <w:p>
      <w:pPr>
        <w:pStyle w:val="ListBullet"/>
      </w:pPr>
      <w:r>
        <w:rPr>
          <w:rFonts w:ascii="Microsoft YaHei" w:hAnsi="Microsoft YaHei" w:eastAsia="微软雅黑"/>
          <w:sz w:val="21"/>
        </w:rPr>
        <w:t>KOL/专家侧共 15 条记录，涉及 9 位专家、5 家机构；来源构成为：PubMed 15条。</w:t>
      </w:r>
    </w:p>
    <w:p>
      <w:pPr>
        <w:pStyle w:val="ListBullet"/>
      </w:pPr>
      <w:r>
        <w:rPr>
          <w:rFonts w:ascii="Microsoft YaHei" w:hAnsi="Microsoft YaHei" w:eastAsia="微软雅黑"/>
          <w:sz w:val="21"/>
        </w:rPr>
        <w:t>涉及分子/靶点高频出现：Sertraline HCl / C17H18Cl3N；盐酸艾司氯胺酮 / esketamine hydrochloride / C13H17Cl2NO；裸盖菇素 / psilocybin / C12H17N2O4P；盐酸舍曲林 / sertraline hydrochloride / C17H18Cl3N；盐酸氟西汀 / fluoxetine hydrochloride / C17H19ClF3NO；草酸艾司西酞普兰 / escitalopram oxalate / C22H23FN2O5。</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2026-06-18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机制竞品；Wellbutrin</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盐酸安非他酮相关 ClinicalTrials.gov 临床研究更新（NCT05646862）</w:t>
            </w:r>
          </w:p>
        </w:tc>
        <w:tc>
          <w:tcPr>
            <w:tcW w:type="dxa" w:w="3096"/>
            <w:vAlign w:val="top"/>
          </w:tcPr>
          <w:p>
            <w:pPr>
              <w:spacing w:after="0"/>
            </w:pPr>
            <w:r/>
            <w:r>
              <w:rPr>
                <w:rFonts w:ascii="Microsoft YaHei" w:hAnsi="Microsoft YaHei" w:eastAsia="微软雅黑"/>
                <w:b w:val="0"/>
                <w:sz w:val="18"/>
              </w:rPr>
              <w:t>ClinicalTrials.gov 研究：A Study Evaluating the Efficacy and Safety of Inavolisib Plus Fulvestrant Compared With Alpelisib Plus Fulvestrant in Participan（详见网站明细）</w:t>
            </w:r>
          </w:p>
        </w:tc>
        <w:tc>
          <w:tcPr>
            <w:tcW w:type="dxa" w:w="2160"/>
            <w:vAlign w:val="top"/>
          </w:tcPr>
          <w:p>
            <w:pPr>
              <w:spacing w:after="0"/>
            </w:pPr>
            <w:r/>
            <w:r>
              <w:rPr>
                <w:rFonts w:ascii="Microsoft YaHei" w:hAnsi="Microsoft YaHei" w:eastAsia="微软雅黑"/>
                <w:b w:val="0"/>
                <w:sz w:val="18"/>
              </w:rPr>
              <w:t>抑郁症非 SSRI 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本品/同成分；左洛复/Zoloft</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盐酸舍曲林相关 ClinicalTrials.gov 临床研究更新（NCT04183205）</w:t>
            </w:r>
          </w:p>
        </w:tc>
        <w:tc>
          <w:tcPr>
            <w:tcW w:type="dxa" w:w="3096"/>
            <w:vAlign w:val="top"/>
          </w:tcPr>
          <w:p>
            <w:pPr>
              <w:spacing w:after="0"/>
            </w:pPr>
            <w:r/>
            <w:r>
              <w:rPr>
                <w:rFonts w:ascii="Microsoft YaHei" w:hAnsi="Microsoft YaHei" w:eastAsia="微软雅黑"/>
                <w:b w:val="0"/>
                <w:sz w:val="18"/>
              </w:rPr>
              <w:t>ClinicalTrials.gov 研究：Predicting SSRI Efficacy in Veterans With PTSD；NCT：NCT04183205；状态：TERMINATED；阶段：PHASE4；适应症/疾病：Posttraumatic Stress Disorder；（详见网站明细）</w:t>
            </w:r>
          </w:p>
        </w:tc>
        <w:tc>
          <w:tcPr>
            <w:tcW w:type="dxa" w:w="2160"/>
            <w:vAlign w:val="top"/>
          </w:tcPr>
          <w:p>
            <w:pPr>
              <w:spacing w:after="0"/>
            </w:pPr>
            <w:r/>
            <w:r>
              <w:rPr>
                <w:rFonts w:ascii="Microsoft YaHei" w:hAnsi="Microsoft YaHei" w:eastAsia="微软雅黑"/>
                <w:b w:val="0"/>
                <w:sz w:val="18"/>
              </w:rPr>
              <w:t>同成分和抗抑郁药竞争；建议查看研究设计、入排标准和终点，判断对左洛复或同机制竞品监测的影响。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2026-06-11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直接竞品；来士普/Lexapro</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草酸艾司西酞普兰相关 ClinicalTrials.gov 临床研究更新（NCT05017311）</w:t>
            </w:r>
          </w:p>
        </w:tc>
        <w:tc>
          <w:tcPr>
            <w:tcW w:type="dxa" w:w="3096"/>
            <w:vAlign w:val="top"/>
          </w:tcPr>
          <w:p>
            <w:pPr>
              <w:spacing w:after="0"/>
            </w:pPr>
            <w:r/>
            <w:r>
              <w:rPr>
                <w:rFonts w:ascii="Microsoft YaHei" w:hAnsi="Microsoft YaHei" w:eastAsia="微软雅黑"/>
                <w:b w:val="0"/>
                <w:sz w:val="18"/>
              </w:rPr>
              <w:t>ClinicalTrials.gov 研究：Optimized Predictive Treatment In Medications for Unipolar Major Depression (OPTIMUM-D)；NCT：NCT05017311；状态：RECRUITING；阶段：PHASE4；（详见网站明细）</w:t>
            </w:r>
          </w:p>
        </w:tc>
        <w:tc>
          <w:tcPr>
            <w:tcW w:type="dxa" w:w="2160"/>
            <w:vAlign w:val="top"/>
          </w:tcPr>
          <w:p>
            <w:pPr>
              <w:spacing w:after="0"/>
            </w:pPr>
            <w:r/>
            <w:r>
              <w:rPr>
                <w:rFonts w:ascii="Microsoft YaHei" w:hAnsi="Microsoft YaHei" w:eastAsia="微软雅黑"/>
                <w:b w:val="0"/>
                <w:sz w:val="18"/>
              </w:rPr>
              <w:t>SSRI 同类替代；建议查看研究设计、入排标准和终点，判断对左洛复或同机制竞品监测的影响。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2026-06-10</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机制竞品；Wellbutrin</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盐酸安非他酮相关 ClinicalTrials.gov 临床研究更新（NCT05157698）</w:t>
            </w:r>
          </w:p>
        </w:tc>
        <w:tc>
          <w:tcPr>
            <w:tcW w:type="dxa" w:w="3096"/>
            <w:vAlign w:val="top"/>
          </w:tcPr>
          <w:p>
            <w:pPr>
              <w:spacing w:after="0"/>
            </w:pPr>
            <w:r/>
            <w:r>
              <w:rPr>
                <w:rFonts w:ascii="Microsoft YaHei" w:hAnsi="Microsoft YaHei" w:eastAsia="微软雅黑"/>
                <w:b w:val="0"/>
                <w:sz w:val="18"/>
              </w:rPr>
              <w:t>ClinicalTrials.gov 研究：Pharmacological and Behavioral Treatment After Bariatric Surgery；NCT：NCT05157698；状态：ACTIVE_NOT_RECRUITING；阶段：PHASE3；（详见网站明细）</w:t>
            </w:r>
          </w:p>
        </w:tc>
        <w:tc>
          <w:tcPr>
            <w:tcW w:type="dxa" w:w="2160"/>
            <w:vAlign w:val="top"/>
          </w:tcPr>
          <w:p>
            <w:pPr>
              <w:spacing w:after="0"/>
            </w:pPr>
            <w:r/>
            <w:r>
              <w:rPr>
                <w:rFonts w:ascii="Microsoft YaHei" w:hAnsi="Microsoft YaHei" w:eastAsia="微软雅黑"/>
                <w:b w:val="0"/>
                <w:sz w:val="18"/>
              </w:rPr>
              <w:t>抑郁症非 SSRI 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2026-06-10</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机制竞品；Wellbutrin</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盐酸安非他酮相关 ClinicalTrials.gov 临床研究更新（NCT05919797）</w:t>
            </w:r>
          </w:p>
        </w:tc>
        <w:tc>
          <w:tcPr>
            <w:tcW w:type="dxa" w:w="3096"/>
            <w:vAlign w:val="top"/>
          </w:tcPr>
          <w:p>
            <w:pPr>
              <w:spacing w:after="0"/>
            </w:pPr>
            <w:r/>
            <w:r>
              <w:rPr>
                <w:rFonts w:ascii="Microsoft YaHei" w:hAnsi="Microsoft YaHei" w:eastAsia="微软雅黑"/>
                <w:b w:val="0"/>
                <w:sz w:val="18"/>
              </w:rPr>
              <w:t>ClinicalTrials.gov 研究：Weight Loss Study: Genetics and Response to Naltrexone/Bupropion；NCT：NCT05919797；状态：RECRUITING；阶段：PHASE4；适应症/疾病：Obesity；（详见网站明细）</w:t>
            </w:r>
          </w:p>
        </w:tc>
        <w:tc>
          <w:tcPr>
            <w:tcW w:type="dxa" w:w="2160"/>
            <w:vAlign w:val="top"/>
          </w:tcPr>
          <w:p>
            <w:pPr>
              <w:spacing w:after="0"/>
            </w:pPr>
            <w:r/>
            <w:r>
              <w:rPr>
                <w:rFonts w:ascii="Microsoft YaHei" w:hAnsi="Microsoft YaHei" w:eastAsia="微软雅黑"/>
                <w:b w:val="0"/>
                <w:sz w:val="18"/>
              </w:rPr>
              <w:t>抑郁症非 SSRI 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2026-06-10</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潜在/新机制；Spravato</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盐酸艾司氯胺酮相关 ClinicalTrials.gov 临床研究更新（NCT07377981）</w:t>
            </w:r>
          </w:p>
        </w:tc>
        <w:tc>
          <w:tcPr>
            <w:tcW w:type="dxa" w:w="3096"/>
            <w:vAlign w:val="top"/>
          </w:tcPr>
          <w:p>
            <w:pPr>
              <w:spacing w:after="0"/>
            </w:pPr>
            <w:r/>
            <w:r>
              <w:rPr>
                <w:rFonts w:ascii="Microsoft YaHei" w:hAnsi="Microsoft YaHei" w:eastAsia="微软雅黑"/>
                <w:b w:val="0"/>
                <w:sz w:val="18"/>
              </w:rPr>
              <w:t>ClinicalTrials.gov 研究：Efficacy and Safety of Esketamine Combined With Dexmedetomidine in Non-Invasive ICU Patients With Hyperactive Delirium (ESSENTIA（详见网站明细）</w:t>
            </w:r>
          </w:p>
        </w:tc>
        <w:tc>
          <w:tcPr>
            <w:tcW w:type="dxa" w:w="2160"/>
            <w:vAlign w:val="top"/>
          </w:tcPr>
          <w:p>
            <w:pPr>
              <w:spacing w:after="0"/>
            </w:pPr>
            <w:r/>
            <w:r>
              <w:rPr>
                <w:rFonts w:ascii="Microsoft YaHei" w:hAnsi="Microsoft YaHei" w:eastAsia="微软雅黑"/>
                <w:b w:val="0"/>
                <w:sz w:val="18"/>
              </w:rPr>
              <w:t>治疗抵抗性抑郁快速起效；建议查看研究设计、入排标准和终点，判断对左洛复或同机制竞品监测的影响。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直接竞品；百忧解/Prozac</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盐酸氟西汀相关 ClinicalTrials.gov 临床研究更新（NCT04777006）</w:t>
            </w:r>
          </w:p>
        </w:tc>
        <w:tc>
          <w:tcPr>
            <w:tcW w:type="dxa" w:w="3096"/>
            <w:vAlign w:val="top"/>
          </w:tcPr>
          <w:p>
            <w:pPr>
              <w:spacing w:after="0"/>
            </w:pPr>
            <w:r/>
            <w:r>
              <w:rPr>
                <w:rFonts w:ascii="Microsoft YaHei" w:hAnsi="Microsoft YaHei" w:eastAsia="微软雅黑"/>
                <w:b w:val="0"/>
                <w:sz w:val="18"/>
              </w:rPr>
              <w:t>ClinicalTrials.gov 研究：Integrating a Stepped Care Model of Screening and Treatment for Depression Into Malawi's National HIV Care Delivery Platform；（详见网站明细）</w:t>
            </w:r>
          </w:p>
        </w:tc>
        <w:tc>
          <w:tcPr>
            <w:tcW w:type="dxa" w:w="2160"/>
            <w:vAlign w:val="top"/>
          </w:tcPr>
          <w:p>
            <w:pPr>
              <w:spacing w:after="0"/>
            </w:pPr>
            <w:r/>
            <w:r>
              <w:rPr>
                <w:rFonts w:ascii="Microsoft YaHei" w:hAnsi="Microsoft YaHei" w:eastAsia="微软雅黑"/>
                <w:b w:val="0"/>
                <w:sz w:val="18"/>
              </w:rPr>
              <w:t>SSRI 同类替代；建议查看研究设计、入排标准和终点，判断对左洛复或同机制竞品监测的影响。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直接竞品；赛乐特/Paxil</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盐酸帕罗西汀相关 ClinicalTrials.gov 临床研究更新（NCT04961190）</w:t>
            </w:r>
          </w:p>
        </w:tc>
        <w:tc>
          <w:tcPr>
            <w:tcW w:type="dxa" w:w="3096"/>
            <w:vAlign w:val="top"/>
          </w:tcPr>
          <w:p>
            <w:pPr>
              <w:spacing w:after="0"/>
            </w:pPr>
            <w:r/>
            <w:r>
              <w:rPr>
                <w:rFonts w:ascii="Microsoft YaHei" w:hAnsi="Microsoft YaHei" w:eastAsia="微软雅黑"/>
                <w:b w:val="0"/>
                <w:sz w:val="18"/>
              </w:rPr>
              <w:t>ClinicalTrials.gov 研究：A Comparison of Prolonged Exposure Therapy, Pharmacotherapy, and Their Combination for PTSD；NCT：NCT04961190；（详见网站明细）</w:t>
            </w:r>
          </w:p>
        </w:tc>
        <w:tc>
          <w:tcPr>
            <w:tcW w:type="dxa" w:w="2160"/>
            <w:vAlign w:val="top"/>
          </w:tcPr>
          <w:p>
            <w:pPr>
              <w:spacing w:after="0"/>
            </w:pPr>
            <w:r/>
            <w:r>
              <w:rPr>
                <w:rFonts w:ascii="Microsoft YaHei" w:hAnsi="Microsoft YaHei" w:eastAsia="微软雅黑"/>
                <w:b w:val="0"/>
                <w:sz w:val="18"/>
              </w:rPr>
              <w:t>SSRI 同类替代；建议查看研究设计、入排标准和终点，判断对左洛复或同机制竞品监测的影响。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直接竞品；兰释/Luvox</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马来酸氟伏沙明相关 ClinicalTrials.gov 临床研究更新（NCT07359482）</w:t>
            </w:r>
          </w:p>
        </w:tc>
        <w:tc>
          <w:tcPr>
            <w:tcW w:type="dxa" w:w="3096"/>
            <w:vAlign w:val="top"/>
          </w:tcPr>
          <w:p>
            <w:pPr>
              <w:spacing w:after="0"/>
            </w:pPr>
            <w:r/>
            <w:r>
              <w:rPr>
                <w:rFonts w:ascii="Microsoft YaHei" w:hAnsi="Microsoft YaHei" w:eastAsia="微软雅黑"/>
                <w:b w:val="0"/>
                <w:sz w:val="18"/>
              </w:rPr>
              <w:t>ClinicalTrials.gov 研究：sElective Serotonin reuPtake inhibitoRs In posT-covid After COVID-19；NCT：NCT07359482；状态：RECRUITING；阶段：PHASE3；适应症/疾病：Post-COVID；（详见网站明细）</w:t>
            </w:r>
          </w:p>
        </w:tc>
        <w:tc>
          <w:tcPr>
            <w:tcW w:type="dxa" w:w="2160"/>
            <w:vAlign w:val="top"/>
          </w:tcPr>
          <w:p>
            <w:pPr>
              <w:spacing w:after="0"/>
            </w:pPr>
            <w:r/>
            <w:r>
              <w:rPr>
                <w:rFonts w:ascii="Microsoft YaHei" w:hAnsi="Microsoft YaHei" w:eastAsia="微软雅黑"/>
                <w:b w:val="0"/>
                <w:sz w:val="18"/>
              </w:rPr>
              <w:t>SSRI/OCD 替代；建议查看研究设计、入排标准和终点，判断对左洛复或同机制竞品监测的影响。</w:t>
            </w:r>
          </w:p>
        </w:tc>
      </w:tr>
      <w:tr>
        <w:tc>
          <w:tcPr>
            <w:tcW w:type="dxa" w:w="1152"/>
            <w:vAlign w:val="top"/>
          </w:tcPr>
          <w:p>
            <w:pPr>
              <w:spacing w:after="0"/>
            </w:pPr>
            <w:r/>
            <w:r>
              <w:rPr>
                <w:rFonts w:ascii="Microsoft YaHei" w:hAnsi="Microsoft YaHei" w:eastAsia="微软雅黑"/>
                <w:b w:val="0"/>
                <w:sz w:val="18"/>
              </w:rPr>
              <w:t>2026-06-05</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潜在/新机制；Auvelity 相关</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右美沙芬氢溴酸盐相关 ClinicalTrials.gov 临床研究更新（NCT07284472）</w:t>
            </w:r>
          </w:p>
        </w:tc>
        <w:tc>
          <w:tcPr>
            <w:tcW w:type="dxa" w:w="3096"/>
            <w:vAlign w:val="top"/>
          </w:tcPr>
          <w:p>
            <w:pPr>
              <w:spacing w:after="0"/>
            </w:pPr>
            <w:r/>
            <w:r>
              <w:rPr>
                <w:rFonts w:ascii="Microsoft YaHei" w:hAnsi="Microsoft YaHei" w:eastAsia="微软雅黑"/>
                <w:b w:val="0"/>
                <w:sz w:val="18"/>
              </w:rPr>
              <w:t>ClinicalTrials.gov 研究：Safety and Efficacy of EXV-802 and EXV-801 in the Treatment of Agitation in Alzheimer's Disease Dementia；NCT：NCT07284472；（详见网站明细）</w:t>
            </w:r>
          </w:p>
        </w:tc>
        <w:tc>
          <w:tcPr>
            <w:tcW w:type="dxa" w:w="2160"/>
            <w:vAlign w:val="top"/>
          </w:tcPr>
          <w:p>
            <w:pPr>
              <w:spacing w:after="0"/>
            </w:pPr>
            <w:r/>
            <w:r>
              <w:rPr>
                <w:rFonts w:ascii="Microsoft YaHei" w:hAnsi="Microsoft YaHei" w:eastAsia="微软雅黑"/>
                <w:b w:val="0"/>
                <w:sz w:val="18"/>
              </w:rPr>
              <w:t>快速起效抗抑郁新机制；建议查看研究设计、入排标准和终点，判断对左洛复或同机制竞品监测的影响。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岳伟华 / 北京大学第六医院</w:t>
            </w:r>
          </w:p>
        </w:tc>
        <w:tc>
          <w:tcPr>
            <w:tcW w:type="dxa" w:w="2592"/>
            <w:vAlign w:val="top"/>
          </w:tcPr>
          <w:p>
            <w:pPr>
              <w:spacing w:after="0"/>
            </w:pPr>
            <w:r/>
            <w:r>
              <w:rPr>
                <w:rFonts w:ascii="Microsoft YaHei" w:hAnsi="Microsoft YaHei" w:eastAsia="微软雅黑"/>
                <w:b w:val="0"/>
                <w:sz w:val="18"/>
              </w:rPr>
              <w:t>精神分裂症和神经递质途径遗传倾向对初治首发精神分裂症的神经认知和抗精神病药疗效的独特贡献。</w:t>
            </w:r>
          </w:p>
        </w:tc>
        <w:tc>
          <w:tcPr>
            <w:tcW w:type="dxa" w:w="1728"/>
            <w:vAlign w:val="top"/>
          </w:tcPr>
          <w:p>
            <w:pPr>
              <w:spacing w:after="0"/>
            </w:pPr>
            <w:r/>
            <w:r>
              <w:rPr>
                <w:rFonts w:ascii="Microsoft YaHei" w:hAnsi="Microsoft YaHei" w:eastAsia="微软雅黑"/>
                <w:b w:val="0"/>
                <w:sz w:val="18"/>
              </w:rPr>
              <w:t>GABA</w:t>
            </w:r>
          </w:p>
        </w:tc>
        <w:tc>
          <w:tcPr>
            <w:tcW w:type="dxa" w:w="3240"/>
            <w:vAlign w:val="top"/>
          </w:tcPr>
          <w:p>
            <w:pPr>
              <w:spacing w:after="0"/>
            </w:pPr>
            <w:r/>
            <w:r>
              <w:rPr>
                <w:rFonts w:ascii="Microsoft YaHei" w:hAnsi="Microsoft YaHei" w:eastAsia="微软雅黑"/>
                <w:b w:val="0"/>
                <w:sz w:val="18"/>
              </w:rPr>
              <w:t>研究主题：精神分裂症和神经递质途径遗传倾向对初治首发精神分裂症的神经认知和抗精神病药疗效的独特贡献。摘要要点：精神分裂症症状表现和抗精神病药物反应异质性的遗传机制仍不清楚，限制了个性化治疗的发展。（详见网站明细）</w:t>
            </w:r>
          </w:p>
        </w:tc>
      </w:tr>
      <w:tr>
        <w:tc>
          <w:tcPr>
            <w:tcW w:type="dxa" w:w="1152"/>
            <w:vAlign w:val="top"/>
          </w:tcPr>
          <w:p>
            <w:pPr>
              <w:spacing w:after="0"/>
            </w:pPr>
            <w:r/>
            <w:r>
              <w:rPr>
                <w:rFonts w:ascii="Microsoft YaHei" w:hAnsi="Microsoft YaHei" w:eastAsia="微软雅黑"/>
                <w:b w:val="0"/>
                <w:sz w:val="18"/>
              </w:rPr>
              <w:t>2026-06-18</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司天梅 / 北京大学第六医院</w:t>
            </w:r>
          </w:p>
        </w:tc>
        <w:tc>
          <w:tcPr>
            <w:tcW w:type="dxa" w:w="2592"/>
            <w:vAlign w:val="top"/>
          </w:tcPr>
          <w:p>
            <w:pPr>
              <w:spacing w:after="0"/>
            </w:pPr>
            <w:r/>
            <w:r>
              <w:rPr>
                <w:rFonts w:ascii="Microsoft YaHei" w:hAnsi="Microsoft YaHei" w:eastAsia="微软雅黑"/>
                <w:b w:val="0"/>
                <w:sz w:val="18"/>
              </w:rPr>
              <w:t>首发重度抑郁症的性别特异性认知特征及其与维度症状的相关性。</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研究主题：首发重度抑郁症的性别特异性认知特征及其与维度症状的相关性。摘要要点：背景：本研究探讨了首发、未曾用药的重度抑郁症 (MDD) 患者与性别相关的认知差异及其与临床症状的关联。方法：我们招募了 410 名 MDD 患者和 287 名健康对照 (HC)。评估了五个领域的认知功能和抑郁症状。（详见网站明细）</w:t>
            </w:r>
          </w:p>
        </w:tc>
      </w:tr>
      <w:tr>
        <w:tc>
          <w:tcPr>
            <w:tcW w:type="dxa" w:w="1152"/>
            <w:vAlign w:val="top"/>
          </w:tcPr>
          <w:p>
            <w:pPr>
              <w:spacing w:after="0"/>
            </w:pPr>
            <w:r/>
            <w:r>
              <w:rPr>
                <w:rFonts w:ascii="Microsoft YaHei" w:hAnsi="Microsoft YaHei" w:eastAsia="微软雅黑"/>
                <w:b w:val="0"/>
                <w:sz w:val="18"/>
              </w:rPr>
              <w:t>2026-06-17</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王刚 / 首都医科大学附属北京安定医院</w:t>
            </w:r>
          </w:p>
        </w:tc>
        <w:tc>
          <w:tcPr>
            <w:tcW w:type="dxa" w:w="2592"/>
            <w:vAlign w:val="top"/>
          </w:tcPr>
          <w:p>
            <w:pPr>
              <w:spacing w:after="0"/>
            </w:pPr>
            <w:r/>
            <w:r>
              <w:rPr>
                <w:rFonts w:ascii="Microsoft YaHei" w:hAnsi="Microsoft YaHei" w:eastAsia="微软雅黑"/>
                <w:b w:val="0"/>
                <w:sz w:val="18"/>
              </w:rPr>
              <w:t>辅助粪便微生物移植治疗重度抑郁症：一项随机、双盲、安慰剂对照试验。</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研究主题：辅助粪便微生物移植治疗重度抑郁症：一项随机、双盲、安慰剂对照试验。摘要要点：肠道微生物群可能会影响抗抑郁治疗的结果，但靶向调节是否可以提高疗效仍不清楚。（详见网站明细）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岳伟华 / 北京大学第六医院</w:t>
            </w:r>
          </w:p>
        </w:tc>
        <w:tc>
          <w:tcPr>
            <w:tcW w:type="dxa" w:w="2592"/>
            <w:vAlign w:val="top"/>
          </w:tcPr>
          <w:p>
            <w:pPr>
              <w:spacing w:after="0"/>
            </w:pPr>
            <w:r/>
            <w:r>
              <w:rPr>
                <w:rFonts w:ascii="Microsoft YaHei" w:hAnsi="Microsoft YaHei" w:eastAsia="微软雅黑"/>
                <w:b w:val="0"/>
                <w:sz w:val="18"/>
              </w:rPr>
              <w:t>言语作为生物标志物，使用自我监督表征来支持重度抑郁症的诊断。</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研究主题：言语作为生物标志物，使用自我监督表征来支持重度抑郁症的诊断。摘要要点：重度抑郁症（MDD）的诊断迫切需要客观的生物标志物进行临床转化。在这项研究中，我们使用 23,608 个标准化语音样本建立了迄今为止的多中心队列（N = 1,816；（详见网站明细）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陆林 / 北京大学第六医院</w:t>
            </w:r>
          </w:p>
        </w:tc>
        <w:tc>
          <w:tcPr>
            <w:tcW w:type="dxa" w:w="2592"/>
            <w:vAlign w:val="top"/>
          </w:tcPr>
          <w:p>
            <w:pPr>
              <w:spacing w:after="0"/>
            </w:pPr>
            <w:r/>
            <w:r>
              <w:rPr>
                <w:rFonts w:ascii="Microsoft YaHei" w:hAnsi="Microsoft YaHei" w:eastAsia="微软雅黑"/>
                <w:b w:val="0"/>
                <w:sz w:val="18"/>
              </w:rPr>
              <w:t>2005 年至 2023 年美国成人抑郁症患者肥胖患病率趋势。</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研究主题：2005 年至 2023 年美国成人抑郁症患者肥胖患病率趋势。摘要要点：背景：肥胖和抑郁症作为慢性疾病增加了社会负担，并且常常同时存在，相互作用导致预后恶化。然而，肥胖患病率的长期趋势，特别是在不断增长的抑郁症患者群体中，肥胖患病率的长期趋势仍不清楚。（详见网站明细）</w:t>
            </w:r>
          </w:p>
        </w:tc>
      </w:tr>
      <w:tr>
        <w:tc>
          <w:tcPr>
            <w:tcW w:type="dxa" w:w="1152"/>
            <w:vAlign w:val="top"/>
          </w:tcPr>
          <w:p>
            <w:pPr>
              <w:spacing w:after="0"/>
            </w:pPr>
            <w:r/>
            <w:r>
              <w:rPr>
                <w:rFonts w:ascii="Microsoft YaHei" w:hAnsi="Microsoft YaHei" w:eastAsia="微软雅黑"/>
                <w:b w:val="0"/>
                <w:sz w:val="18"/>
              </w:rPr>
              <w:t>2026-06-14</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王振 / 上海市精神卫生中心</w:t>
            </w:r>
          </w:p>
        </w:tc>
        <w:tc>
          <w:tcPr>
            <w:tcW w:type="dxa" w:w="2592"/>
            <w:vAlign w:val="top"/>
          </w:tcPr>
          <w:p>
            <w:pPr>
              <w:spacing w:after="0"/>
            </w:pPr>
            <w:r/>
            <w:r>
              <w:rPr>
                <w:rFonts w:ascii="Microsoft YaHei" w:hAnsi="Microsoft YaHei" w:eastAsia="微软雅黑"/>
                <w:b w:val="0"/>
                <w:sz w:val="18"/>
              </w:rPr>
              <w:t>针对强迫症中 BNST 的个性化时间干扰刺激与 theta 突发模式：两个案例。</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基于题名判断，文章主题为：针对强迫症中 BNST 的个性化时间干扰刺激与 theta 突发模式：两个案例。</w:t>
            </w:r>
          </w:p>
        </w:tc>
      </w:tr>
      <w:tr>
        <w:tc>
          <w:tcPr>
            <w:tcW w:type="dxa" w:w="1152"/>
            <w:vAlign w:val="top"/>
          </w:tcPr>
          <w:p>
            <w:pPr>
              <w:spacing w:after="0"/>
            </w:pPr>
            <w:r/>
            <w:r>
              <w:rPr>
                <w:rFonts w:ascii="Microsoft YaHei" w:hAnsi="Microsoft YaHei" w:eastAsia="微软雅黑"/>
                <w:b w:val="0"/>
                <w:sz w:val="18"/>
              </w:rPr>
              <w:t>2026-06-12</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王刚 / 首都医科大学附属北京安定医院</w:t>
            </w:r>
          </w:p>
        </w:tc>
        <w:tc>
          <w:tcPr>
            <w:tcW w:type="dxa" w:w="2592"/>
            <w:vAlign w:val="top"/>
          </w:tcPr>
          <w:p>
            <w:pPr>
              <w:spacing w:after="0"/>
            </w:pPr>
            <w:r/>
            <w:r>
              <w:rPr>
                <w:rFonts w:ascii="Microsoft YaHei" w:hAnsi="Microsoft YaHei" w:eastAsia="微软雅黑"/>
                <w:b w:val="0"/>
                <w:sz w:val="18"/>
              </w:rPr>
              <w:t>不良童年经历与老年人精神疾病进展之间的关联：一项 22 年队列研究。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研究主题：不良童年经历与老年人精神疾病进展之间的关联：一项 22 年队列研究。摘要要点：不良童年经历（ACE）对老年人精神疾病发展的长期影响仍不清楚。这项研究探讨了 ACE 与老年人精神疾病之间的关联。对美国 2000-2022 年健康与退休研究浪潮的数据进行了分析。（详见网站明细）</w:t>
            </w:r>
          </w:p>
        </w:tc>
      </w:tr>
      <w:tr>
        <w:tc>
          <w:tcPr>
            <w:tcW w:type="dxa" w:w="1152"/>
            <w:vAlign w:val="top"/>
          </w:tcPr>
          <w:p>
            <w:pPr>
              <w:spacing w:after="0"/>
            </w:pPr>
            <w:r/>
            <w:r>
              <w:rPr>
                <w:rFonts w:ascii="Microsoft YaHei" w:hAnsi="Microsoft YaHei" w:eastAsia="微软雅黑"/>
                <w:b w:val="0"/>
                <w:sz w:val="18"/>
              </w:rPr>
              <w:t>2026-06-11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王刚 / 首都医科大学附属北京安定医院</w:t>
            </w:r>
          </w:p>
        </w:tc>
        <w:tc>
          <w:tcPr>
            <w:tcW w:type="dxa" w:w="2592"/>
            <w:vAlign w:val="top"/>
          </w:tcPr>
          <w:p>
            <w:pPr>
              <w:spacing w:after="0"/>
            </w:pPr>
            <w:r/>
            <w:r>
              <w:rPr>
                <w:rFonts w:ascii="Microsoft YaHei" w:hAnsi="Microsoft YaHei" w:eastAsia="微软雅黑"/>
                <w:b w:val="0"/>
                <w:sz w:val="18"/>
              </w:rPr>
              <w:t>杏仁核连接模式的不同轨迹表征了重度抑郁症患者的缓解与非缓解。</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研究主题：杏仁核连接模式的不同轨迹表征了重度抑郁症患者的缓解与非缓解。摘要要点：背景：本研究旨在通过 8 周纵向多时间点静息态功能磁共振成像 (fMRI) 设计来研究抗抑郁疗效个体差异的神经基础。（详见网站明细）</w:t>
            </w:r>
          </w:p>
        </w:tc>
      </w:tr>
      <w:tr>
        <w:tc>
          <w:tcPr>
            <w:tcW w:type="dxa" w:w="1152"/>
            <w:vAlign w:val="top"/>
          </w:tcPr>
          <w:p>
            <w:pPr>
              <w:spacing w:after="0"/>
            </w:pPr>
            <w:r/>
            <w:r>
              <w:rPr>
                <w:rFonts w:ascii="Microsoft YaHei" w:hAnsi="Microsoft YaHei" w:eastAsia="微软雅黑"/>
                <w:b w:val="0"/>
                <w:sz w:val="18"/>
              </w:rPr>
              <w:t>2026-06-10</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岳伟华 / 北京大学第六医院</w:t>
            </w:r>
          </w:p>
        </w:tc>
        <w:tc>
          <w:tcPr>
            <w:tcW w:type="dxa" w:w="2592"/>
            <w:vAlign w:val="top"/>
          </w:tcPr>
          <w:p>
            <w:pPr>
              <w:spacing w:after="0"/>
            </w:pPr>
            <w:r/>
            <w:r>
              <w:rPr>
                <w:rFonts w:ascii="Microsoft YaHei" w:hAnsi="Microsoft YaHei" w:eastAsia="微软雅黑"/>
                <w:b w:val="0"/>
                <w:sz w:val="18"/>
              </w:rPr>
              <w:t>儿童和青少年抑郁症治疗方案的比较疗效和可接受性：网络荟萃分析方案。</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儿童和青少年抑郁症治疗方案的比较疗效和可接受性：网络荟萃分析方案。摘要要点：简介：近年来，儿童和青少年抑郁症的发病率不断增加，给公共卫生和临床护理带来了重大挑战。多种治疗方法，包括药物治疗、心理治疗和物理干预，广泛应用于临床实践。（详见网站明细）</w:t>
            </w:r>
          </w:p>
        </w:tc>
      </w:tr>
      <w:tr>
        <w:tc>
          <w:tcPr>
            <w:tcW w:type="dxa" w:w="1152"/>
            <w:vAlign w:val="top"/>
          </w:tcPr>
          <w:p>
            <w:pPr>
              <w:spacing w:after="0"/>
            </w:pPr>
            <w:r/>
            <w:r>
              <w:rPr>
                <w:rFonts w:ascii="Microsoft YaHei" w:hAnsi="Microsoft YaHei" w:eastAsia="微软雅黑"/>
                <w:b w:val="0"/>
                <w:sz w:val="18"/>
              </w:rPr>
              <w:t>2026-06-06</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姚志剑 / 南京脑科医院</w:t>
            </w:r>
          </w:p>
        </w:tc>
        <w:tc>
          <w:tcPr>
            <w:tcW w:type="dxa" w:w="2592"/>
            <w:vAlign w:val="top"/>
          </w:tcPr>
          <w:p>
            <w:pPr>
              <w:spacing w:after="0"/>
            </w:pPr>
            <w:r/>
            <w:r>
              <w:rPr>
                <w:rFonts w:ascii="Microsoft YaHei" w:hAnsi="Microsoft YaHei" w:eastAsia="微软雅黑"/>
                <w:b w:val="0"/>
                <w:sz w:val="18"/>
              </w:rPr>
              <w:t>患有重度抑郁症的初治患者的源级脑电​​图连接失调：将神经振荡与潜在的神经电生理标志物联系起来。</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患有重度抑郁症的初治患者的源级脑电​​图连接失调：将神经振荡与潜在的神经电生理标志物联系起来。摘要要点：背景：基于脑电图（EEG）的源定位为研究重度抑郁症（MDD）功能连接（FC）中断的神经生理学起源提供了新的视角。（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Sertraline HCl / C17H18Cl3N</w:t>
            </w:r>
          </w:p>
        </w:tc>
        <w:tc>
          <w:tcPr>
            <w:tcW w:type="dxa" w:w="1584"/>
            <w:vAlign w:val="top"/>
          </w:tcPr>
          <w:p>
            <w:pPr>
              <w:spacing w:after="0"/>
            </w:pPr>
            <w:r/>
            <w:r>
              <w:rPr>
                <w:rFonts w:ascii="Microsoft YaHei" w:hAnsi="Microsoft YaHei" w:eastAsia="微软雅黑"/>
                <w:b w:val="0"/>
                <w:sz w:val="18"/>
              </w:rPr>
              <w:t>138</w:t>
            </w:r>
          </w:p>
        </w:tc>
      </w:tr>
      <w:tr>
        <w:tc>
          <w:tcPr>
            <w:tcW w:type="dxa" w:w="7920"/>
            <w:vAlign w:val="top"/>
          </w:tcPr>
          <w:p>
            <w:pPr>
              <w:spacing w:after="0"/>
            </w:pPr>
            <w:r/>
            <w:r>
              <w:rPr>
                <w:rFonts w:ascii="Microsoft YaHei" w:hAnsi="Microsoft YaHei" w:eastAsia="微软雅黑"/>
                <w:b w:val="0"/>
                <w:sz w:val="18"/>
              </w:rPr>
              <w:t>盐酸艾司氯胺酮 / esketamine hydrochloride / C13H17Cl2NO</w:t>
            </w:r>
          </w:p>
        </w:tc>
        <w:tc>
          <w:tcPr>
            <w:tcW w:type="dxa" w:w="1584"/>
            <w:vAlign w:val="top"/>
          </w:tcPr>
          <w:p>
            <w:pPr>
              <w:spacing w:after="0"/>
            </w:pPr>
            <w:r/>
            <w:r>
              <w:rPr>
                <w:rFonts w:ascii="Microsoft YaHei" w:hAnsi="Microsoft YaHei" w:eastAsia="微软雅黑"/>
                <w:b w:val="0"/>
                <w:sz w:val="18"/>
              </w:rPr>
              <w:t>19</w:t>
            </w:r>
          </w:p>
        </w:tc>
      </w:tr>
      <w:tr>
        <w:tc>
          <w:tcPr>
            <w:tcW w:type="dxa" w:w="7920"/>
            <w:vAlign w:val="top"/>
          </w:tcPr>
          <w:p>
            <w:pPr>
              <w:spacing w:after="0"/>
            </w:pPr>
            <w:r/>
            <w:r>
              <w:rPr>
                <w:rFonts w:ascii="Microsoft YaHei" w:hAnsi="Microsoft YaHei" w:eastAsia="微软雅黑"/>
                <w:b w:val="0"/>
                <w:sz w:val="18"/>
              </w:rPr>
              <w:t>裸盖菇素 / psilocybin / C12H17N2O4P</w:t>
            </w:r>
          </w:p>
        </w:tc>
        <w:tc>
          <w:tcPr>
            <w:tcW w:type="dxa" w:w="1584"/>
            <w:vAlign w:val="top"/>
          </w:tcPr>
          <w:p>
            <w:pPr>
              <w:spacing w:after="0"/>
            </w:pPr>
            <w:r/>
            <w:r>
              <w:rPr>
                <w:rFonts w:ascii="Microsoft YaHei" w:hAnsi="Microsoft YaHei" w:eastAsia="微软雅黑"/>
                <w:b w:val="0"/>
                <w:sz w:val="18"/>
              </w:rPr>
              <w:t>15</w:t>
            </w:r>
          </w:p>
        </w:tc>
      </w:tr>
      <w:tr>
        <w:tc>
          <w:tcPr>
            <w:tcW w:type="dxa" w:w="7920"/>
            <w:vAlign w:val="top"/>
          </w:tcPr>
          <w:p>
            <w:pPr>
              <w:spacing w:after="0"/>
            </w:pPr>
            <w:r/>
            <w:r>
              <w:rPr>
                <w:rFonts w:ascii="Microsoft YaHei" w:hAnsi="Microsoft YaHei" w:eastAsia="微软雅黑"/>
                <w:b w:val="0"/>
                <w:sz w:val="18"/>
              </w:rPr>
              <w:t>盐酸舍曲林 / sertraline hydrochloride / C17H18Cl3N</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盐酸氟西汀 / fluoxetine hydrochloride / C17H19ClF3NO</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草酸艾司西酞普兰 / escitalopram oxalate / C22H23FN2O5</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盐酸帕罗西汀 / paroxetine hydrochloride / C19H21ClFNO3</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米氮平 / mirtazapine / C17H19N3</w:t>
            </w:r>
          </w:p>
        </w:tc>
        <w:tc>
          <w:tcPr>
            <w:tcW w:type="dxa" w:w="1584"/>
            <w:vAlign w:val="top"/>
          </w:tcPr>
          <w:p>
            <w:pPr>
              <w:spacing w:after="0"/>
            </w:pPr>
            <w:r/>
            <w:r>
              <w:rPr>
                <w:rFonts w:ascii="Microsoft YaHei" w:hAnsi="Microsoft YaHei" w:eastAsia="微软雅黑"/>
                <w:b w:val="0"/>
                <w:sz w:val="18"/>
              </w:rPr>
              <w:t>9</w:t>
            </w:r>
          </w:p>
        </w:tc>
      </w:tr>
      <w:tr>
        <w:tc>
          <w:tcPr>
            <w:tcW w:type="dxa" w:w="7920"/>
            <w:vAlign w:val="top"/>
          </w:tcPr>
          <w:p>
            <w:pPr>
              <w:spacing w:after="0"/>
            </w:pPr>
            <w:r/>
            <w:r>
              <w:rPr>
                <w:rFonts w:ascii="Microsoft YaHei" w:hAnsi="Microsoft YaHei" w:eastAsia="微软雅黑"/>
                <w:b w:val="0"/>
                <w:sz w:val="18"/>
              </w:rPr>
              <w:t>盐酸安非他酮 / bupropion hydrochloride / C13H19Cl2NO</w:t>
            </w:r>
          </w:p>
        </w:tc>
        <w:tc>
          <w:tcPr>
            <w:tcW w:type="dxa" w:w="1584"/>
            <w:vAlign w:val="top"/>
          </w:tcPr>
          <w:p>
            <w:pPr>
              <w:spacing w:after="0"/>
            </w:pPr>
            <w:r/>
            <w:r>
              <w:rPr>
                <w:rFonts w:ascii="Microsoft YaHei" w:hAnsi="Microsoft YaHei" w:eastAsia="微软雅黑"/>
                <w:b w:val="0"/>
                <w:sz w:val="18"/>
              </w:rPr>
              <w:t>9</w:t>
            </w:r>
          </w:p>
        </w:tc>
      </w:tr>
      <w:tr>
        <w:tc>
          <w:tcPr>
            <w:tcW w:type="dxa" w:w="7920"/>
            <w:vAlign w:val="top"/>
          </w:tcPr>
          <w:p>
            <w:pPr>
              <w:spacing w:after="0"/>
            </w:pPr>
            <w:r/>
            <w:r>
              <w:rPr>
                <w:rFonts w:ascii="Microsoft YaHei" w:hAnsi="Microsoft YaHei" w:eastAsia="微软雅黑"/>
                <w:b w:val="0"/>
                <w:sz w:val="18"/>
              </w:rPr>
              <w:t>盐酸度洛西汀 / duloxetine hydrochloride / C18H20ClNOS</w:t>
            </w:r>
          </w:p>
        </w:tc>
        <w:tc>
          <w:tcPr>
            <w:tcW w:type="dxa" w:w="1584"/>
            <w:vAlign w:val="top"/>
          </w:tcPr>
          <w:p>
            <w:pPr>
              <w:spacing w:after="0"/>
            </w:pPr>
            <w:r/>
            <w:r>
              <w:rPr>
                <w:rFonts w:ascii="Microsoft YaHei" w:hAnsi="Microsoft YaHei" w:eastAsia="微软雅黑"/>
                <w:b w:val="0"/>
                <w:sz w:val="18"/>
              </w:rPr>
              <w:t>8</w:t>
            </w:r>
          </w:p>
        </w:tc>
      </w:tr>
      <w:tr>
        <w:tc>
          <w:tcPr>
            <w:tcW w:type="dxa" w:w="7920"/>
            <w:vAlign w:val="top"/>
          </w:tcPr>
          <w:p>
            <w:pPr>
              <w:spacing w:after="0"/>
            </w:pPr>
            <w:r/>
            <w:r>
              <w:rPr>
                <w:rFonts w:ascii="Microsoft YaHei" w:hAnsi="Microsoft YaHei" w:eastAsia="微软雅黑"/>
                <w:b w:val="0"/>
                <w:sz w:val="18"/>
              </w:rPr>
              <w:t>氢溴酸西酞普兰 / citalopram hydrobromide / C20H22BrFN2O</w:t>
            </w:r>
          </w:p>
        </w:tc>
        <w:tc>
          <w:tcPr>
            <w:tcW w:type="dxa" w:w="1584"/>
            <w:vAlign w:val="top"/>
          </w:tcPr>
          <w:p>
            <w:pPr>
              <w:spacing w:after="0"/>
            </w:pPr>
            <w:r/>
            <w:r>
              <w:rPr>
                <w:rFonts w:ascii="Microsoft YaHei" w:hAnsi="Microsoft YaHei" w:eastAsia="微软雅黑"/>
                <w:b w:val="0"/>
                <w:sz w:val="18"/>
              </w:rPr>
              <w:t>7</w:t>
            </w:r>
          </w:p>
        </w:tc>
      </w:tr>
      <w:tr>
        <w:tc>
          <w:tcPr>
            <w:tcW w:type="dxa" w:w="7920"/>
            <w:vAlign w:val="top"/>
          </w:tcPr>
          <w:p>
            <w:pPr>
              <w:spacing w:after="0"/>
            </w:pPr>
            <w:r/>
            <w:r>
              <w:rPr>
                <w:rFonts w:ascii="Microsoft YaHei" w:hAnsi="Microsoft YaHei" w:eastAsia="微软雅黑"/>
                <w:b w:val="0"/>
                <w:sz w:val="18"/>
              </w:rPr>
              <w:t>右美沙芬氢溴酸盐 / dextromethorphan hydrobromide / C18H26BrNO</w:t>
            </w:r>
          </w:p>
        </w:tc>
        <w:tc>
          <w:tcPr>
            <w:tcW w:type="dxa" w:w="1584"/>
            <w:vAlign w:val="top"/>
          </w:tcPr>
          <w:p>
            <w:pPr>
              <w:spacing w:after="0"/>
            </w:pPr>
            <w:r/>
            <w:r>
              <w:rPr>
                <w:rFonts w:ascii="Microsoft YaHei" w:hAnsi="Microsoft YaHei" w:eastAsia="微软雅黑"/>
                <w:b w:val="0"/>
                <w:sz w:val="18"/>
              </w:rPr>
              <w:t>7</w:t>
            </w:r>
          </w:p>
        </w:tc>
      </w:tr>
    </w:tbl>
    <w:p>
      <w:pPr>
        <w:pStyle w:val="Heading1"/>
      </w:pPr>
      <w:r>
        <w:t>六、建议跟进</w:t>
      </w:r>
    </w:p>
    <w:p>
      <w:pPr>
        <w:pStyle w:val="ListBullet"/>
      </w:pPr>
      <w:r>
        <w:rPr>
          <w:rFonts w:ascii="Microsoft YaHei" w:hAnsi="Microsoft YaHei" w:eastAsia="微软雅黑"/>
          <w:sz w:val="21"/>
        </w:rPr>
        <w:t>Clinical｜盐酸安非他酮相关 ClinicalTrials.gov 临床研究更新（NCT05646862）：建议结合研究设计、入排标准、终点和安全性信息判断对本品医学沟通、竞品监测或风险沟通的影响。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Clinical｜盐酸舍曲林相关 ClinicalTrials.gov 临床研究更新（NCT04183205）：建议结合研究设计、入排标准、终点和安全性信息判断对本品医学沟通、竞品监测或风险沟通的影响。</w:t>
      </w:r>
    </w:p>
    <w:p>
      <w:pPr>
        <w:pStyle w:val="ListBullet"/>
      </w:pPr>
      <w:r>
        <w:rPr>
          <w:rFonts w:ascii="Microsoft YaHei" w:hAnsi="Microsoft YaHei" w:eastAsia="微软雅黑"/>
          <w:sz w:val="21"/>
        </w:rPr>
        <w:t>Clinical｜草酸艾司西酞普兰相关 ClinicalTrials.gov 临床研究更新（NCT05017311）：建议结合研究设计、入排标准、终点和安全性信息判断对本品医学沟通、竞品监测或风险沟通的影响。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Clinical｜盐酸安非他酮相关 ClinicalTrials.gov 临床研究更新（NCT05157698）：建议结合研究设计、入排标准、终点和安全性信息判断对本品医学沟通、竞品监测或风险沟通的影响。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Clinical｜盐酸安非他酮相关 ClinicalTrials.gov 临床研究更新（NCT05919797）：建议结合研究设计、入排标准、终点和安全性信息判断对本品医学沟通、竞品监测或风险沟通的影响。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