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0" w:line="340"/>
      </w:pPr>
      <w:r>
        <w:rPr>
          <w:rFonts w:ascii="Microsoft YaHei UI" w:cs="Microsoft YaHei UI" w:eastAsia="Microsoft YaHei UI" w:hAnsi="Microsoft YaHei UI"/>
          <w:b/>
          <w:bCs/>
          <w:color w:val="147D73"/>
          <w:sz w:val="20"/>
          <w:szCs w:val="20"/>
        </w:rPr>
        <w:t xml:space="preserve">MONTHLY PRODUCT INTELLIGENCE</w:t>
      </w:r>
    </w:p>
    <w:p>
      <w:pPr>
        <w:spacing w:after="120" w:before="0" w:line="340"/>
      </w:pPr>
      <w:r>
        <w:rPr>
          <w:rFonts w:ascii="Microsoft YaHei UI" w:cs="Microsoft YaHei UI" w:eastAsia="Microsoft YaHei UI" w:hAnsi="Microsoft YaHei UI"/>
          <w:b/>
          <w:bCs/>
          <w:color w:val="0B5C55"/>
          <w:sz w:val="40"/>
          <w:szCs w:val="40"/>
        </w:rPr>
        <w:t xml:space="preserve">西乐葆｜2026年8月关注报告</w:t>
      </w:r>
    </w:p>
    <w:p>
      <w:pPr>
        <w:spacing w:after="360" w:before="0" w:line="340"/>
      </w:pPr>
      <w:r>
        <w:rPr>
          <w:rFonts w:ascii="Microsoft YaHei UI" w:cs="Microsoft YaHei UI" w:eastAsia="Microsoft YaHei UI" w:hAnsi="Microsoft YaHei UI"/>
          <w:color w:val="5F706E"/>
          <w:sz w:val="22"/>
          <w:szCs w:val="22"/>
        </w:rPr>
        <w:t xml:space="preserve">2026-08-01 至 2026-08-31</w:t>
      </w:r>
    </w:p>
    <w:tbl>
      <w:tblPr>
        <w:tblW w:type="dxa" w:w="10000"/>
        <w:tblBorders>
          <w:top w:val="none"/>
          <w:left w:val="none"/>
          <w:bottom w:val="none"/>
          <w:right w:val="none"/>
          <w:insideH w:val="none"/>
          <w:insideV w:val="single" w:color="FFFFFF" w:sz="8"/>
        </w:tblBorders>
      </w:tblPr>
      <w:tblGrid>
        <w:gridCol w:w="2000"/>
        <w:gridCol w:w="2000"/>
        <w:gridCol w:w="2000"/>
        <w:gridCol w:w="2000"/>
        <w:gridCol w:w="2000"/>
      </w:tblGrid>
      <w:tr>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115</w:t>
            </w:r>
          </w:p>
          <w:p>
            <w:pPr>
              <w:spacing w:after="0" w:before="0" w:line="340"/>
              <w:jc w:val="center"/>
            </w:pPr>
            <w:r>
              <w:rPr>
                <w:rFonts w:ascii="Microsoft YaHei UI" w:cs="Microsoft YaHei UI" w:eastAsia="Microsoft YaHei UI" w:hAnsi="Microsoft YaHei UI"/>
                <w:color w:val="5F706E"/>
                <w:sz w:val="19"/>
                <w:szCs w:val="19"/>
              </w:rPr>
              <w:t xml:space="preserve">有效进展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53</w:t>
            </w:r>
          </w:p>
          <w:p>
            <w:pPr>
              <w:spacing w:after="0" w:before="0" w:line="340"/>
              <w:jc w:val="center"/>
            </w:pPr>
            <w:r>
              <w:rPr>
                <w:rFonts w:ascii="Microsoft YaHei UI" w:cs="Microsoft YaHei UI" w:eastAsia="Microsoft YaHei UI" w:hAnsi="Microsoft YaHei UI"/>
                <w:color w:val="5F706E"/>
                <w:sz w:val="19"/>
                <w:szCs w:val="19"/>
              </w:rPr>
              <w:t xml:space="preserve">建议跟进</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25</w:t>
            </w:r>
          </w:p>
          <w:p>
            <w:pPr>
              <w:spacing w:after="0" w:before="0" w:line="340"/>
              <w:jc w:val="center"/>
            </w:pPr>
            <w:r>
              <w:rPr>
                <w:rFonts w:ascii="Microsoft YaHei UI" w:cs="Microsoft YaHei UI" w:eastAsia="Microsoft YaHei UI" w:hAnsi="Microsoft YaHei UI"/>
                <w:color w:val="5F706E"/>
                <w:sz w:val="19"/>
                <w:szCs w:val="19"/>
              </w:rPr>
              <w:t xml:space="preserve">高证据</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4</w:t>
            </w:r>
          </w:p>
          <w:p>
            <w:pPr>
              <w:spacing w:after="0" w:before="0" w:line="340"/>
              <w:jc w:val="center"/>
            </w:pPr>
            <w:r>
              <w:rPr>
                <w:rFonts w:ascii="Microsoft YaHei UI" w:cs="Microsoft YaHei UI" w:eastAsia="Microsoft YaHei UI" w:hAnsi="Microsoft YaHei UI"/>
                <w:color w:val="5F706E"/>
                <w:sz w:val="19"/>
                <w:szCs w:val="19"/>
              </w:rPr>
              <w:t xml:space="preserve">KOL记录</w:t>
            </w:r>
          </w:p>
        </w:tc>
        <w:tc>
          <w:tcPr>
            <w:tcW w:type="dxa" w:w="2000"/>
            <w:shd w:fill="EAF5F2" w:val="clear"/>
            <w:tcMar>
              <w:top w:type="dxa" w:w="150"/>
              <w:left w:type="dxa" w:w="170"/>
              <w:bottom w:type="dxa" w:w="150"/>
              <w:right w:type="dxa" w:w="170"/>
            </w:tcMar>
            <w:vAlign w:val="center"/>
          </w:tcPr>
          <w:p>
            <w:pPr>
              <w:spacing w:after="40" w:before="0" w:line="340"/>
              <w:jc w:val="center"/>
            </w:pPr>
            <w:r>
              <w:rPr>
                <w:rFonts w:ascii="Microsoft YaHei UI" w:cs="Microsoft YaHei UI" w:eastAsia="Microsoft YaHei UI" w:hAnsi="Microsoft YaHei UI"/>
                <w:b/>
                <w:bCs/>
                <w:color w:val="0B5C55"/>
                <w:sz w:val="34"/>
                <w:szCs w:val="34"/>
              </w:rPr>
              <w:t xml:space="preserve">3</w:t>
            </w:r>
          </w:p>
          <w:p>
            <w:pPr>
              <w:spacing w:after="0" w:before="0" w:line="340"/>
              <w:jc w:val="center"/>
            </w:pPr>
            <w:r>
              <w:rPr>
                <w:rFonts w:ascii="Microsoft YaHei UI" w:cs="Microsoft YaHei UI" w:eastAsia="Microsoft YaHei UI" w:hAnsi="Microsoft YaHei UI"/>
                <w:color w:val="5F706E"/>
                <w:sz w:val="19"/>
                <w:szCs w:val="19"/>
              </w:rPr>
              <w:t xml:space="preserve">涉及专家</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管理层摘要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750"/>
        <w:gridCol w:w="8250"/>
      </w:tblGrid>
      <w:tr>
        <w:tc>
          <w:tcPr>
            <w:tcW w:type="dxa" w:w="1750"/>
            <w:shd w:fill="DDF1EC"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一句话结论</w:t>
            </w:r>
          </w:p>
        </w:tc>
        <w:tc>
          <w:tcPr>
            <w:tcW w:type="dxa" w:w="8250"/>
            <w:shd w:fill="F2FAF8"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2026年8月西乐葆最值得注意的是：镇痛竞争同时向围术期多模式镇痛、非阿片新机制和胃肠/心血管安全性推进。</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发生了什么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本月纳入 115 条有效产品/竞品进展，其中 53 条建议跟进、25 条为高证据。优先记录包括《Suzetrigine 治疗全踝关节置换术后疼痛》、《新型布比卡因缓释聚合物可持续缓解全膝关节置换术后的疼痛》。</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关注什么</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优先查看非 NSAID 竞品；泰诺/必理通、NSAID 竞品；布洛芬、NSAID 竞品；扶他林、本品/同成分；西乐葆/Celebrex，并把同一研究在不同检索路径下的重复命中合并判断。</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为什么关注</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新型镇痛机制与经典 NSAID 的安全性比较会直接影响西乐葆在慢性疼痛和围术期场景中的选择理由。</w:t>
            </w:r>
          </w:p>
        </w:tc>
      </w:tr>
      <w:tr>
        <w:tc>
          <w:tcPr>
            <w:tcW w:type="dxa" w:w="1750"/>
            <w:shd w:fill="F5F8F7"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0B5C55"/>
                <w:sz w:val="22"/>
                <w:szCs w:val="22"/>
              </w:rPr>
              <w:t xml:space="preserve">建议动作</w:t>
            </w:r>
          </w:p>
        </w:tc>
        <w:tc>
          <w:tcPr>
            <w:tcW w:type="dxa" w:w="8250"/>
            <w:shd w:fill="FFFFFF" w:val="clear"/>
            <w:tcMar>
              <w:top w:type="dxa" w:w="150"/>
              <w:left w:type="dxa" w:w="170"/>
              <w:bottom w:type="dxa" w:w="150"/>
              <w:right w:type="dxa" w:w="170"/>
            </w:tcMar>
            <w:vAlign w:val="center"/>
          </w:tcPr>
          <w:p>
            <w:pPr>
              <w:spacing w:after="0" w:before="0" w:line="370"/>
            </w:pPr>
            <w:r>
              <w:rPr>
                <w:rFonts w:ascii="Microsoft YaHei UI" w:cs="Microsoft YaHei UI" w:eastAsia="Microsoft YaHei UI" w:hAnsi="Microsoft YaHei UI"/>
                <w:color w:val="152625"/>
                <w:sz w:val="23"/>
                <w:szCs w:val="23"/>
              </w:rPr>
              <w:t xml:space="preserve">优先核对关节炎和围术期研究的疗效终点；持续监测 GI、CV 和肾脏安全性；对比 Journavx 等非阿片新机制的适应症和证据成熟度。</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本月重点更新</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5400"/>
        <w:gridCol w:w="3150"/>
      </w:tblGrid>
      <w:tr>
        <w:trPr>
          <w:tblHeader/>
        </w:trPr>
        <w:tc>
          <w:tcPr>
            <w:tcW w:type="dxa" w:w="14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日期 / 来源</w:t>
            </w:r>
          </w:p>
        </w:tc>
        <w:tc>
          <w:tcPr>
            <w:tcW w:type="dxa" w:w="540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研究或事件</w:t>
            </w:r>
          </w:p>
        </w:tc>
        <w:tc>
          <w:tcPr>
            <w:tcW w:type="dxa" w:w="3150"/>
            <w:shd w:fill="0B5C55" w:val="clear"/>
            <w:tcMar>
              <w:top w:type="dxa" w:w="150"/>
              <w:left w:type="dxa" w:w="170"/>
              <w:bottom w:type="dxa" w:w="150"/>
              <w:right w:type="dxa" w:w="170"/>
            </w:tcMar>
            <w:vAlign w:val="center"/>
          </w:tcPr>
          <w:p>
            <w:pPr>
              <w:spacing w:after="0" w:before="0" w:line="340"/>
            </w:pPr>
            <w:r>
              <w:rPr>
                <w:rFonts w:ascii="Microsoft YaHei UI" w:cs="Microsoft YaHei UI" w:eastAsia="Microsoft YaHei UI" w:hAnsi="Microsoft YaHei UI"/>
                <w:b/>
                <w:bCs/>
                <w:color w:val="FFFFFF"/>
                <w:sz w:val="22"/>
                <w:szCs w:val="22"/>
              </w:rPr>
              <w:t xml:space="preserve">判断与动作</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2026-08-31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Suzetrigine 治疗全踝关节置换术后疼痛</w:t>
            </w:r>
          </w:p>
          <w:p>
            <w:pPr>
              <w:spacing w:after="0" w:before="0" w:line="320"/>
            </w:pPr>
            <w:r>
              <w:rPr>
                <w:rFonts w:ascii="Microsoft YaHei UI" w:cs="Microsoft YaHei UI" w:eastAsia="Microsoft YaHei UI" w:hAnsi="Microsoft YaHei UI"/>
                <w:color w:val="5F706E"/>
                <w:sz w:val="20"/>
                <w:szCs w:val="20"/>
              </w:rPr>
              <w:t xml:space="preserve">ClinicalTrials.gov 研究：Suzetrigine 治疗全踝关节置换术后疼痛；NCT：NCT07795827；状态：尚未招募；阶段：4期；适应症/疾病：踝骨关节炎；术后疼痛；急性疼痛；首次发布：2026-08-31；最近更新：2026-08-31。</w:t>
            </w:r>
          </w:p>
          <w:p>
            <w:pPr>
              <w:spacing w:after="0" w:before="80"/>
            </w:pPr>
            <w:hyperlink w:history="1" r:id="rIdz1ytgyp0qaobbfiudssxs">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潜在竞品；Journavx</w:t>
            </w:r>
          </w:p>
          <w:p>
            <w:pPr>
              <w:spacing w:after="0" w:before="0" w:line="320"/>
            </w:pPr>
            <w:r>
              <w:rPr>
                <w:rFonts w:ascii="Microsoft YaHei UI" w:cs="Microsoft YaHei UI" w:eastAsia="Microsoft YaHei UI" w:hAnsi="Microsoft YaHei UI"/>
                <w:color w:val="152625"/>
                <w:sz w:val="20"/>
                <w:szCs w:val="20"/>
              </w:rPr>
              <w:t xml:space="preserve">非阿片急性疼痛新机制；建议查看研究设计、入排标准和终点，判断对西乐葆或同机制竞品监测的影响。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2026-08-20</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新型布比卡因缓释聚合物可持续缓解全膝关节置换术后的疼痛</w:t>
            </w:r>
          </w:p>
          <w:p>
            <w:pPr>
              <w:spacing w:after="0" w:before="0" w:line="320"/>
            </w:pPr>
            <w:r>
              <w:rPr>
                <w:rFonts w:ascii="Microsoft YaHei UI" w:cs="Microsoft YaHei UI" w:eastAsia="Microsoft YaHei UI" w:hAnsi="Microsoft YaHei UI"/>
                <w:color w:val="5F706E"/>
                <w:sz w:val="20"/>
                <w:szCs w:val="20"/>
              </w:rPr>
              <w:t xml:space="preserve">ClinicalTrials.gov 研究：新型布比卡因缓释聚合物可持续缓解全膝关节置换术后的疼痛；NCT：NCT07775248；状态：招募中；阶段：4期；适应症/疾病：膝关节骨关节炎 (OA)；首次发布：2026-08-20；最近更新：2026-08-20。</w:t>
            </w:r>
          </w:p>
          <w:p>
            <w:pPr>
              <w:spacing w:after="0" w:before="80"/>
            </w:pPr>
            <w:hyperlink w:history="1" r:id="rIdivapr8hey8lyp8ev_iov_">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NSAID 竞品；莫比可</w:t>
            </w:r>
          </w:p>
          <w:p>
            <w:pPr>
              <w:spacing w:after="0" w:before="0" w:line="320"/>
            </w:pPr>
            <w:r>
              <w:rPr>
                <w:rFonts w:ascii="Microsoft YaHei UI" w:cs="Microsoft YaHei UI" w:eastAsia="Microsoft YaHei UI" w:hAnsi="Microsoft YaHei UI"/>
                <w:color w:val="152625"/>
                <w:sz w:val="20"/>
                <w:szCs w:val="20"/>
              </w:rPr>
              <w:t xml:space="preserve">镇痛抗炎替代；建议查看研究设计、入排标准和终点，判断对西乐葆或同机制竞品监测的影响。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2026-08-06</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减少上肢手术后阿片类药物的使用：测试较低的处方和药丸数量</w:t>
            </w:r>
          </w:p>
          <w:p>
            <w:pPr>
              <w:spacing w:after="0" w:before="0" w:line="320"/>
            </w:pPr>
            <w:r>
              <w:rPr>
                <w:rFonts w:ascii="Microsoft YaHei UI" w:cs="Microsoft YaHei UI" w:eastAsia="Microsoft YaHei UI" w:hAnsi="Microsoft YaHei UI"/>
                <w:color w:val="5F706E"/>
                <w:sz w:val="20"/>
                <w:szCs w:val="20"/>
              </w:rPr>
              <w:t xml:space="preserve">ClinicalTrials.gov 研究：减少上肢手术后阿片类药物的使用：测试较低的处方和药丸数量；NCT：NCT07750639；状态：仅限受邀入组；阶段：4期；适应症/疾病：阿片类药物滥用（障碍）；阿片类镇痛；阿片类镇痛不良反应；阿片类药物消耗；首次发布：2026-08-06；最近更新：2026-08-06。</w:t>
            </w:r>
          </w:p>
          <w:p>
            <w:pPr>
              <w:spacing w:after="0" w:before="80"/>
            </w:pPr>
            <w:hyperlink w:history="1" r:id="rIdabhy5ioajq0ajn8fnfe_y">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NSAID 竞品；萘普生</w:t>
            </w:r>
          </w:p>
          <w:p>
            <w:pPr>
              <w:spacing w:after="0" w:before="0" w:line="320"/>
            </w:pPr>
            <w:r>
              <w:rPr>
                <w:rFonts w:ascii="Microsoft YaHei UI" w:cs="Microsoft YaHei UI" w:eastAsia="Microsoft YaHei UI" w:hAnsi="Microsoft YaHei UI"/>
                <w:color w:val="152625"/>
                <w:sz w:val="20"/>
                <w:szCs w:val="20"/>
              </w:rPr>
              <w:t xml:space="preserve">镇痛抗炎替代；建议查看研究设计、入排标准和终点，判断对西乐葆或同机制竞品监测的影响。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2026-08-04</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选择性腰椎融合术后 NSAIDS</w:t>
            </w:r>
          </w:p>
          <w:p>
            <w:pPr>
              <w:spacing w:after="0" w:before="0" w:line="320"/>
            </w:pPr>
            <w:r>
              <w:rPr>
                <w:rFonts w:ascii="Microsoft YaHei UI" w:cs="Microsoft YaHei UI" w:eastAsia="Microsoft YaHei UI" w:hAnsi="Microsoft YaHei UI"/>
                <w:color w:val="5F706E"/>
                <w:sz w:val="20"/>
                <w:szCs w:val="20"/>
              </w:rPr>
              <w:t xml:space="preserve">ClinicalTrials.gov 研究：选择性腰椎融合术后 NSAIDS；NCT：NCT07743606；状态：仅限受邀入组；阶段：3期；适应症/疾病：NSAID（非甾体抗炎药）；腰椎融合术；酮咯酸；术后疼痛；首次发布：2026-08-04；最近更新：2026-08-04。</w:t>
            </w:r>
          </w:p>
          <w:p>
            <w:pPr>
              <w:spacing w:after="0" w:before="80"/>
            </w:pPr>
            <w:hyperlink w:history="1" r:id="rIdnzh-rqecfgwaxdkdkblxs">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NSAID 竞品；萘普生</w:t>
            </w:r>
          </w:p>
          <w:p>
            <w:pPr>
              <w:spacing w:after="0" w:before="0" w:line="320"/>
            </w:pPr>
            <w:r>
              <w:rPr>
                <w:rFonts w:ascii="Microsoft YaHei UI" w:cs="Microsoft YaHei UI" w:eastAsia="Microsoft YaHei UI" w:hAnsi="Microsoft YaHei UI"/>
                <w:color w:val="152625"/>
                <w:sz w:val="20"/>
                <w:szCs w:val="20"/>
              </w:rPr>
              <w:t xml:space="preserve">镇痛抗炎替代；建议查看研究设计、入排标准和终点，判断对西乐葆或同机制竞品监测的影响。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2026-08-31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剖腹产后镇痛：比较交错疗法与同时疗法的有效性</w:t>
            </w:r>
          </w:p>
          <w:p>
            <w:pPr>
              <w:spacing w:after="0" w:before="0" w:line="320"/>
            </w:pPr>
            <w:r>
              <w:rPr>
                <w:rFonts w:ascii="Microsoft YaHei UI" w:cs="Microsoft YaHei UI" w:eastAsia="Microsoft YaHei UI" w:hAnsi="Microsoft YaHei UI"/>
                <w:color w:val="5F706E"/>
                <w:sz w:val="20"/>
                <w:szCs w:val="20"/>
              </w:rPr>
              <w:t xml:space="preserve">ClinicalTrials.gov 研究：剖腹产后镇痛：比较交错疗法与同时疗法的有效性；NCT：NCT07102641；状态：活跃，已停止招募；阶段：4期；适应症/疾病：剖腹产；产后舒适；产后疼痛；术后疼痛；NSAIDs；对乙酰氨基酚 (D000082)；首次发布：2025-08-04；最近更新：2026-08-31。</w:t>
            </w:r>
          </w:p>
          <w:p>
            <w:pPr>
              <w:spacing w:after="0" w:before="80"/>
            </w:pPr>
            <w:hyperlink w:history="1" r:id="rId7sx0xj-01kzepznrlrxrr">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NSAID 竞品；布洛芬</w:t>
            </w:r>
          </w:p>
          <w:p>
            <w:pPr>
              <w:spacing w:after="0" w:before="0" w:line="320"/>
            </w:pPr>
            <w:r>
              <w:rPr>
                <w:rFonts w:ascii="Microsoft YaHei UI" w:cs="Microsoft YaHei UI" w:eastAsia="Microsoft YaHei UI" w:hAnsi="Microsoft YaHei UI"/>
                <w:color w:val="152625"/>
                <w:sz w:val="20"/>
                <w:szCs w:val="20"/>
              </w:rPr>
              <w:t xml:space="preserve">OTC/处方镇痛替代；建议查看研究设计、入排标准和终点，判断对西乐葆或同机制竞品监测的影响。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2026-08-28</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经皮针肘腱切断术的非麻醉性疼痛控制</w:t>
            </w:r>
          </w:p>
          <w:p>
            <w:pPr>
              <w:spacing w:after="0" w:before="0" w:line="320"/>
            </w:pPr>
            <w:r>
              <w:rPr>
                <w:rFonts w:ascii="Microsoft YaHei UI" w:cs="Microsoft YaHei UI" w:eastAsia="Microsoft YaHei UI" w:hAnsi="Microsoft YaHei UI"/>
                <w:color w:val="5F706E"/>
                <w:sz w:val="20"/>
                <w:szCs w:val="20"/>
              </w:rPr>
              <w:t xml:space="preserve">ClinicalTrials.gov 研究：经皮针肘腱切断术的非麻醉性疼痛控制；NCT：NCT06373978；状态：招募中；阶段：4期；适应症/疾病：Elbow Pain；Chronic Pain；首次发布：2024-04-18；最近更新：2026-08-28。</w:t>
            </w:r>
          </w:p>
          <w:p>
            <w:pPr>
              <w:spacing w:after="0" w:before="80"/>
            </w:pPr>
            <w:hyperlink w:history="1" r:id="rIdxb6fg6agj5c37fp9xq7da">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NSAID 竞品；扶他林</w:t>
            </w:r>
          </w:p>
          <w:p>
            <w:pPr>
              <w:spacing w:after="0" w:before="0" w:line="320"/>
            </w:pPr>
            <w:r>
              <w:rPr>
                <w:rFonts w:ascii="Microsoft YaHei UI" w:cs="Microsoft YaHei UI" w:eastAsia="Microsoft YaHei UI" w:hAnsi="Microsoft YaHei UI"/>
                <w:color w:val="152625"/>
                <w:sz w:val="20"/>
                <w:szCs w:val="20"/>
              </w:rPr>
              <w:t xml:space="preserve">镇痛抗炎替代；建议查看研究设计、入排标准和终点，判断对西乐葆或同机制竞品监测的影响。</w:t>
            </w:r>
          </w:p>
        </w:tc>
      </w:tr>
      <w:tr>
        <w:trPr>
          <w:cantSplit/>
        </w:trPr>
        <w:tc>
          <w:tcPr>
            <w:tcW w:type="dxa" w:w="1450"/>
            <w:shd w:fill="FFFFFF"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2026-08-21</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地塞米松与布洛芬预防和控制手术植入术后疼痛的比较</w:t>
            </w:r>
          </w:p>
          <w:p>
            <w:pPr>
              <w:spacing w:after="0" w:before="0" w:line="320"/>
            </w:pPr>
            <w:r>
              <w:rPr>
                <w:rFonts w:ascii="Microsoft YaHei UI" w:cs="Microsoft YaHei UI" w:eastAsia="Microsoft YaHei UI" w:hAnsi="Microsoft YaHei UI"/>
                <w:color w:val="5F706E"/>
                <w:sz w:val="20"/>
                <w:szCs w:val="20"/>
              </w:rPr>
              <w:t xml:space="preserve">ClinicalTrials.gov 研究：地塞米松与布洛芬预防和控制手术植入术后疼痛的比较；NCT：NCT02763059；状态：已完成；阶段：4期；适应症/疾病：疼痛测量；首次发布：2016-05-05；最近更新：2026-08-21。</w:t>
            </w:r>
          </w:p>
          <w:p>
            <w:pPr>
              <w:spacing w:after="0" w:before="80"/>
            </w:pPr>
            <w:hyperlink w:history="1" r:id="rIdjebejiiyrc7rfpe0znim3">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FFFFF"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NSAID 竞品；布洛芬</w:t>
            </w:r>
          </w:p>
          <w:p>
            <w:pPr>
              <w:spacing w:after="0" w:before="0" w:line="320"/>
            </w:pPr>
            <w:r>
              <w:rPr>
                <w:rFonts w:ascii="Microsoft YaHei UI" w:cs="Microsoft YaHei UI" w:eastAsia="Microsoft YaHei UI" w:hAnsi="Microsoft YaHei UI"/>
                <w:color w:val="152625"/>
                <w:sz w:val="20"/>
                <w:szCs w:val="20"/>
              </w:rPr>
              <w:t xml:space="preserve">OTC/处方镇痛替代；建议查看研究设计、入排标准和终点，判断对西乐葆或同机制竞品监测的影响。</w:t>
            </w:r>
          </w:p>
        </w:tc>
      </w:tr>
      <w:tr>
        <w:trPr>
          <w:cantSplit/>
        </w:trPr>
        <w:tc>
          <w:tcPr>
            <w:tcW w:type="dxa" w:w="1450"/>
            <w:shd w:fill="F5F8F7" w:val="clear"/>
            <w:tcMar>
              <w:top w:type="dxa" w:w="150"/>
              <w:left w:type="dxa" w:w="170"/>
              <w:bottom w:type="dxa" w:w="150"/>
              <w:right w:type="dxa" w:w="170"/>
            </w:tcMar>
            <w:vAlign w:val="center"/>
          </w:tcPr>
          <w:p>
            <w:pPr>
              <w:spacing w:after="60" w:before="0" w:line="340"/>
            </w:pPr>
            <w:r>
              <w:rPr>
                <w:rFonts w:ascii="Microsoft YaHei UI" w:cs="Microsoft YaHei UI" w:eastAsia="Microsoft YaHei UI" w:hAnsi="Microsoft YaHei UI"/>
                <w:b/>
                <w:bCs/>
                <w:color w:val="152625"/>
                <w:sz w:val="22"/>
                <w:szCs w:val="22"/>
              </w:rPr>
              <w:t xml:space="preserve">2026-08-19</w:t>
            </w:r>
          </w:p>
          <w:p>
            <w:pPr>
              <w:spacing w:after="60" w:before="0" w:line="340"/>
            </w:pPr>
            <w:r>
              <w:rPr>
                <w:rFonts w:ascii="Microsoft YaHei UI" w:cs="Microsoft YaHei UI" w:eastAsia="Microsoft YaHei UI" w:hAnsi="Microsoft YaHei UI"/>
                <w:color w:val="5F706E"/>
                <w:sz w:val="22"/>
                <w:szCs w:val="22"/>
              </w:rPr>
              <w:t xml:space="preserve">Clinical</w:t>
            </w:r>
          </w:p>
          <w:p>
            <w:pPr>
              <w:spacing w:after="0" w:before="0" w:line="340"/>
            </w:pPr>
            <w:r>
              <w:rPr>
                <w:rFonts w:ascii="Microsoft YaHei UI" w:cs="Microsoft YaHei UI" w:eastAsia="Microsoft YaHei UI" w:hAnsi="Microsoft YaHei UI"/>
                <w:color w:val="0B5C55"/>
                <w:sz w:val="18"/>
                <w:szCs w:val="18"/>
              </w:rPr>
              <w:t xml:space="preserve">高证据 / 建议跟进</w:t>
            </w:r>
          </w:p>
        </w:tc>
        <w:tc>
          <w:tcPr>
            <w:tcW w:type="dxa" w:w="540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152625"/>
                <w:sz w:val="22"/>
                <w:szCs w:val="22"/>
              </w:rPr>
              <w:t xml:space="preserve">除阿片类药物治疗外，非阿片类药物治疗癌症疼痛的疗效</w:t>
            </w:r>
          </w:p>
          <w:p>
            <w:pPr>
              <w:spacing w:after="0" w:before="0" w:line="320"/>
            </w:pPr>
            <w:r>
              <w:rPr>
                <w:rFonts w:ascii="Microsoft YaHei UI" w:cs="Microsoft YaHei UI" w:eastAsia="Microsoft YaHei UI" w:hAnsi="Microsoft YaHei UI"/>
                <w:color w:val="5F706E"/>
                <w:sz w:val="20"/>
                <w:szCs w:val="20"/>
              </w:rPr>
              <w:t xml:space="preserve">ClinicalTrials.gov 研究：除阿片类药物治疗外，非阿片类药物治疗癌症疼痛的疗效；NCT：NCT07682558；状态：尚未招募；阶段：3期；适应症/疾病：癌痛；癌症姑息治疗；首次发布：2026-07-06；最近更新：2026-08-19。</w:t>
            </w:r>
          </w:p>
          <w:p>
            <w:pPr>
              <w:spacing w:after="0" w:before="80"/>
            </w:pPr>
            <w:hyperlink w:history="1" r:id="rId1wsrehkcygwtriayarqhv">
              <w:r>
                <w:rPr>
                  <w:rFonts w:ascii="Microsoft YaHei UI" w:cs="Microsoft YaHei UI" w:eastAsia="Microsoft YaHei UI" w:hAnsi="Microsoft YaHei UI"/>
                  <w:color w:val="1B6CA8"/>
                  <w:sz w:val="18"/>
                  <w:szCs w:val="18"/>
                  <w:u w:val="single"/>
                </w:rPr>
                <w:t xml:space="preserve">打开原始来源</w:t>
              </w:r>
            </w:hyperlink>
          </w:p>
        </w:tc>
        <w:tc>
          <w:tcPr>
            <w:tcW w:type="dxa" w:w="3150"/>
            <w:shd w:fill="F5F8F7" w:val="clear"/>
            <w:tcMar>
              <w:top w:type="dxa" w:w="150"/>
              <w:left w:type="dxa" w:w="170"/>
              <w:bottom w:type="dxa" w:w="150"/>
              <w:right w:type="dxa" w:w="170"/>
            </w:tcMar>
            <w:vAlign w:val="top"/>
          </w:tcPr>
          <w:p>
            <w:pPr>
              <w:spacing w:after="80" w:before="0" w:line="340"/>
            </w:pPr>
            <w:r>
              <w:rPr>
                <w:rFonts w:ascii="Microsoft YaHei UI" w:cs="Microsoft YaHei UI" w:eastAsia="Microsoft YaHei UI" w:hAnsi="Microsoft YaHei UI"/>
                <w:b/>
                <w:bCs/>
                <w:color w:val="0B5C55"/>
                <w:sz w:val="22"/>
                <w:szCs w:val="22"/>
              </w:rPr>
              <w:t xml:space="preserve">NSAID 竞品；布洛芬</w:t>
            </w:r>
          </w:p>
          <w:p>
            <w:pPr>
              <w:spacing w:after="0" w:before="0" w:line="320"/>
            </w:pPr>
            <w:r>
              <w:rPr>
                <w:rFonts w:ascii="Microsoft YaHei UI" w:cs="Microsoft YaHei UI" w:eastAsia="Microsoft YaHei UI" w:hAnsi="Microsoft YaHei UI"/>
                <w:color w:val="152625"/>
                <w:sz w:val="20"/>
                <w:szCs w:val="20"/>
              </w:rPr>
              <w:t xml:space="preserve">OTC/处方镇痛替代；建议查看研究设计、入排标准和终点，判断对西乐葆或同机制竞品监测的影响。</w:t>
            </w:r>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KOL / 专家动态</w:t>
      </w:r>
    </w:p>
    <w:tbl>
      <w:tblPr>
        <w:tblW w:type="dxa" w:w="10000"/>
        <w:tblBorders>
          <w:top w:val="single" w:color="D6E2DF" w:sz="1"/>
          <w:left w:val="single" w:color="D6E2DF" w:sz="1"/>
          <w:bottom w:val="single" w:color="D6E2DF" w:sz="1"/>
          <w:right w:val="single" w:color="D6E2DF" w:sz="1"/>
          <w:insideH w:val="single" w:color="D6E2DF" w:sz="1"/>
          <w:insideV w:val="single" w:color="D6E2DF" w:sz="1"/>
        </w:tblBorders>
      </w:tblPr>
      <w:tblGrid>
        <w:gridCol w:w="1450"/>
        <w:gridCol w:w="8550"/>
      </w:tblGrid>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2026-08-28</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罗芳｜首都医科大学附属北京天坛医院</w:t>
            </w:r>
          </w:p>
          <w:p>
            <w:pPr>
              <w:spacing w:after="70" w:before="0" w:line="340"/>
            </w:pPr>
            <w:r>
              <w:rPr>
                <w:rFonts w:ascii="Microsoft YaHei UI" w:cs="Microsoft YaHei UI" w:eastAsia="Microsoft YaHei UI" w:hAnsi="Microsoft YaHei UI"/>
                <w:b/>
                <w:bCs/>
                <w:color w:val="152625"/>
                <w:sz w:val="22"/>
                <w:szCs w:val="22"/>
              </w:rPr>
              <w:t xml:space="preserve">混合手术后静脉自控镇痛的可变速率反馈输注和固定速率基础输注模式之间累积阿片类药物消耗量的比较：前瞻性随机对照试验方案。</w:t>
            </w:r>
          </w:p>
          <w:p>
            <w:pPr>
              <w:spacing w:after="0" w:before="0" w:line="320"/>
            </w:pPr>
            <w:r>
              <w:rPr>
                <w:rFonts w:ascii="Microsoft YaHei UI" w:cs="Microsoft YaHei UI" w:eastAsia="Microsoft YaHei UI" w:hAnsi="Microsoft YaHei UI"/>
                <w:color w:val="5F706E"/>
                <w:sz w:val="20"/>
                <w:szCs w:val="20"/>
              </w:rPr>
              <w:t xml:space="preserve">研究主题：混合手术后静脉自控镇痛的可变速率反馈输注和固定速率基础输注模式之间累积阿片类药物消耗量的比较：前瞻性随机对照试验方案。。摘要要点：简介：术后疼痛管理不善仍然是一个重大的临床挑战，常常导致活动延迟和并发症增加。虽然静脉患者自控镇痛 (PCA) 是主要治疗方法，但传统的固定速率基础输注模式可能与术后疼痛的双相波动性质不相符。这通常会导致镇痛不足或不必要的阿片类药物过量。先进的网络集成 PCA 泵现在允许“可变速率反馈输注”，可根据实时患者需求动态调整背景速率。本研究旨在确定可变速率反馈输注模式是否可以减少术后 48 小时的总累积阿片类药物消耗量，同时与固定速率基础输注模式相比，提供不较差的镇痛效果。方法和分析：这是一项在中国三家医院进行的多中心、随机、双盲对照试验。总共 1170 名患者（年龄 18-65 岁，美国麻醉医师协会 I-III）在全身麻醉下接受择期混合手术，包括使用微创或开放方法进行的胸部、腹部、脊柱、骨科和颅骨手术，将被招募并以 1:1 的比例随机分配到固定速率基础输注组或可变速率反馈输注组。两组都将接受标准化的舒芬太尼 PCA 溶液。在可变速率反馈输注组中，背景输注速率将在锁定间隔期间根据需要推注自动增加 0.5 mL/小时，并在不活动 1 小时后减少 0.5 mL/小时。主要结局是术后 48 小时的累积阿片类药物总消耗量，包括通过 PCA 输送的舒芬太尼和阿片类药物等效救援镇痛药。</w:t>
            </w:r>
          </w:p>
          <w:p>
            <w:pPr>
              <w:spacing w:after="0" w:before="80"/>
            </w:pPr>
            <w:hyperlink w:history="1" r:id="rIdtgmdjcax5ix4bo-pbisby">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2026-08-27</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周非非｜北京大学第三医院</w:t>
            </w:r>
          </w:p>
          <w:p>
            <w:pPr>
              <w:spacing w:after="70" w:before="0" w:line="340"/>
            </w:pPr>
            <w:r>
              <w:rPr>
                <w:rFonts w:ascii="Microsoft YaHei UI" w:cs="Microsoft YaHei UI" w:eastAsia="Microsoft YaHei UI" w:hAnsi="Microsoft YaHei UI"/>
                <w:b/>
                <w:bCs/>
                <w:color w:val="152625"/>
                <w:sz w:val="22"/>
                <w:szCs w:val="22"/>
              </w:rPr>
              <w:t xml:space="preserve">退行性颈椎后凸和狭窄患者后路手术后后凸进展的危险因素。</w:t>
            </w:r>
          </w:p>
          <w:p>
            <w:pPr>
              <w:spacing w:after="0" w:before="0" w:line="320"/>
            </w:pPr>
            <w:r>
              <w:rPr>
                <w:rFonts w:ascii="Microsoft YaHei UI" w:cs="Microsoft YaHei UI" w:eastAsia="Microsoft YaHei UI" w:hAnsi="Microsoft YaHei UI"/>
                <w:color w:val="5F706E"/>
                <w:sz w:val="20"/>
                <w:szCs w:val="20"/>
              </w:rPr>
              <w:t xml:space="preserve">研究主题：退行性颈椎后凸和狭窄患者后路手术后后凸进展的危险因素。。摘要要点：目的：探讨退变性颈椎后凸狭窄患者行后路减压术后颈椎后凸进展的术前及术中因素。方法：这项回顾性研究回顾了诊断为多节段颈椎管狭窄和退变性颈椎后凸并接受后路手术的患者。使用改良的日本骨科协会 (mJOA) 评分、颈部疼痛视觉模拟量表 (VAS)、颈部残疾指数 (NDI) 和简表 36 (SF36) 健康调查来评估临床结果。术前和随访时使用颈椎站立 X 射线测量放射学参数，包括 C2-C7 前凸、颈椎运动范围（屈曲和伸展）、T1 斜率和 T1S-CL。根据术后脊柱后凸是否进展，将患者分为两组。结果：共有 102 名患者（平均年龄 56.8 岁；75 名男性，27 名女性）符合纳入标准。42 名患者（41.2%）术后颈椎后凸进展，而 60 名患者（58.8%）保持颈椎排列。两组人口统计学特征（包括年龄、性别、体重指数、吸烟、饮酒习惯或 ASA 等级）之间没有显着差异。手术特征，例如手术持续时间和融合率，也没有显示出显着差异。mJOA 评分表明，两组均表现出显着的神经功能改善，且各组间观察到的改善程度相当。术前各组之间的 C2-C7 脊柱前凸相似（脊柱后凸进展：-4.2 ± 8.3°，对齐维持：-4.7 ± 6.0°）。随访时，后凸进展组的 C2-C7 前凸显着下降至 -10.4 ± 11.4°，而体位维持组则显着增加至 2.0 ± 6.2°。</w:t>
            </w:r>
          </w:p>
          <w:p>
            <w:pPr>
              <w:spacing w:after="0" w:before="80"/>
            </w:pPr>
            <w:hyperlink w:history="1" r:id="rIdbsuaawlyykxeoh8d-zdzh">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FFFFF"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2026-08-24</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FFFFF"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周非非｜北京大学第三医院</w:t>
            </w:r>
          </w:p>
          <w:p>
            <w:pPr>
              <w:spacing w:after="70" w:before="0" w:line="340"/>
            </w:pPr>
            <w:r>
              <w:rPr>
                <w:rFonts w:ascii="Microsoft YaHei UI" w:cs="Microsoft YaHei UI" w:eastAsia="Microsoft YaHei UI" w:hAnsi="Microsoft YaHei UI"/>
                <w:b/>
                <w:bCs/>
                <w:color w:val="152625"/>
                <w:sz w:val="22"/>
                <w:szCs w:val="22"/>
              </w:rPr>
              <w:t xml:space="preserve">单节段 Bryan 和 ProDisc-C 颈椎间盘置换术的长期比较：至少 10 年的临床和放射学结果随访。</w:t>
            </w:r>
          </w:p>
          <w:p>
            <w:pPr>
              <w:spacing w:after="0" w:before="0" w:line="320"/>
            </w:pPr>
            <w:r>
              <w:rPr>
                <w:rFonts w:ascii="Microsoft YaHei UI" w:cs="Microsoft YaHei UI" w:eastAsia="Microsoft YaHei UI" w:hAnsi="Microsoft YaHei UI"/>
                <w:color w:val="5F706E"/>
                <w:sz w:val="20"/>
                <w:szCs w:val="20"/>
              </w:rPr>
              <w:t xml:space="preserve">研究主题：单节段 Bryan 和 ProDisc-C 颈椎间盘置换术的长期比较：至少 10 年的临床和放射学结果随访。。摘要要点：研究设计回顾性队列研究。目的比较单节段颈椎间盘置换术 (CDA) 后 Bryan 和 ProDisc-C 颈椎间盘假体之间的长期临床和影像学结果，特别关注矢状对齐、运动行为、异位骨化 (HO) 和放射学邻近节段退变。方法这项回顾性单中心队列研究包括使用 Bryan 或 ProDisc-C 假体进行单节段 CDA 的患者2004 年至 2014 年间，拥有完整的至少 10 年临床和放射学随访数据。使用颈部残疾指数（NDI）、颈部和手臂疼痛视觉模拟量表以及改良的日本骨科协会（mJOA）评分来评估临床结果。放射学评估包括颈椎前凸、节段和总运动范围 (ROM)、功能性脊柱单位 (FSU) 高度、颈椎矢状垂直轴、T1 斜率、根据 McAfee 分类的 HO，以及使用 Walraevens 评分系统评估的放射学邻近节段退变。结果 总共纳入 71 名患者，其中 40 名患者接受 Bryan 假体治疗，31 名患者接受 ProDisc-C 治疗。中位随访时间为 141 个月 [IQR，123-173 个月]。与术前基线值相比，两组患者的 VAS-N、VAS-A、NDI 和 mJOA 评分均有显着改善，但最终随访时组间无显着差异。从放射学角度来看，尽管在 Bryan 组中观察到组内较基线有所下降，但各组之间的最终指数水平 ROM 具有可比性。</w:t>
            </w:r>
          </w:p>
          <w:p>
            <w:pPr>
              <w:spacing w:after="0" w:before="80"/>
            </w:pPr>
            <w:hyperlink w:history="1" r:id="rIdffobxa9qyiqlgx5zjizsf">
              <w:r>
                <w:rPr>
                  <w:rFonts w:ascii="Microsoft YaHei UI" w:cs="Microsoft YaHei UI" w:eastAsia="Microsoft YaHei UI" w:hAnsi="Microsoft YaHei UI"/>
                  <w:color w:val="1B6CA8"/>
                  <w:sz w:val="18"/>
                  <w:szCs w:val="18"/>
                  <w:u w:val="single"/>
                </w:rPr>
                <w:t xml:space="preserve">打开原始来源</w:t>
              </w:r>
            </w:hyperlink>
          </w:p>
        </w:tc>
      </w:tr>
      <w:tr>
        <w:trPr>
          <w:cantSplit/>
        </w:trPr>
        <w:tc>
          <w:tcPr>
            <w:tcW w:type="dxa" w:w="1450"/>
            <w:shd w:fill="F5F8F7" w:val="clear"/>
            <w:tcMar>
              <w:top w:type="dxa" w:w="150"/>
              <w:left w:type="dxa" w:w="170"/>
              <w:bottom w:type="dxa" w:w="150"/>
              <w:right w:type="dxa" w:w="170"/>
            </w:tcMar>
            <w:vAlign w:val="center"/>
          </w:tcPr>
          <w:p>
            <w:pPr>
              <w:spacing w:after="50" w:before="0" w:line="340"/>
            </w:pPr>
            <w:r>
              <w:rPr>
                <w:rFonts w:ascii="Microsoft YaHei UI" w:cs="Microsoft YaHei UI" w:eastAsia="Microsoft YaHei UI" w:hAnsi="Microsoft YaHei UI"/>
                <w:b/>
                <w:bCs/>
                <w:color w:val="152625"/>
                <w:sz w:val="22"/>
                <w:szCs w:val="22"/>
              </w:rPr>
              <w:t xml:space="preserve">2026-08-06</w:t>
            </w:r>
          </w:p>
          <w:p>
            <w:pPr>
              <w:spacing w:after="0" w:before="0" w:line="340"/>
            </w:pPr>
            <w:r>
              <w:rPr>
                <w:rFonts w:ascii="Microsoft YaHei UI" w:cs="Microsoft YaHei UI" w:eastAsia="Microsoft YaHei UI" w:hAnsi="Microsoft YaHei UI"/>
                <w:color w:val="5F706E"/>
                <w:sz w:val="22"/>
                <w:szCs w:val="22"/>
              </w:rPr>
              <w:t xml:space="preserve">PubMed</w:t>
            </w:r>
          </w:p>
        </w:tc>
        <w:tc>
          <w:tcPr>
            <w:tcW w:type="dxa" w:w="8550"/>
            <w:shd w:fill="F5F8F7" w:val="clear"/>
            <w:tcMar>
              <w:top w:type="dxa" w:w="150"/>
              <w:left w:type="dxa" w:w="170"/>
              <w:bottom w:type="dxa" w:w="150"/>
              <w:right w:type="dxa" w:w="170"/>
            </w:tcMar>
            <w:vAlign w:val="top"/>
          </w:tcPr>
          <w:p>
            <w:pPr>
              <w:spacing w:after="70" w:before="0" w:line="340"/>
            </w:pPr>
            <w:r>
              <w:rPr>
                <w:rFonts w:ascii="Microsoft YaHei UI" w:cs="Microsoft YaHei UI" w:eastAsia="Microsoft YaHei UI" w:hAnsi="Microsoft YaHei UI"/>
                <w:b/>
                <w:bCs/>
                <w:color w:val="0B5C55"/>
                <w:sz w:val="22"/>
                <w:szCs w:val="22"/>
              </w:rPr>
              <w:t xml:space="preserve">李危石｜北京大学第三医院</w:t>
            </w:r>
          </w:p>
          <w:p>
            <w:pPr>
              <w:spacing w:after="70" w:before="0" w:line="340"/>
            </w:pPr>
            <w:r>
              <w:rPr>
                <w:rFonts w:ascii="Microsoft YaHei UI" w:cs="Microsoft YaHei UI" w:eastAsia="Microsoft YaHei UI" w:hAnsi="Microsoft YaHei UI"/>
                <w:b/>
                <w:bCs/>
                <w:color w:val="152625"/>
                <w:sz w:val="22"/>
                <w:szCs w:val="22"/>
              </w:rPr>
              <w:t xml:space="preserve">患者报告的腰椎手术生活质量 (LSQoL) 的开发和初步验证：混合方法研究。</w:t>
            </w:r>
          </w:p>
          <w:p>
            <w:pPr>
              <w:spacing w:after="0" w:before="0" w:line="320"/>
            </w:pPr>
            <w:r>
              <w:rPr>
                <w:rFonts w:ascii="Microsoft YaHei UI" w:cs="Microsoft YaHei UI" w:eastAsia="Microsoft YaHei UI" w:hAnsi="Microsoft YaHei UI"/>
                <w:color w:val="5F706E"/>
                <w:sz w:val="20"/>
                <w:szCs w:val="20"/>
              </w:rPr>
              <w:t xml:space="preserve">研究主题：患者报告的腰椎手术生活质量 (LSQoL) 的开发和初步验证：混合方法研究。。摘要要点：研究设计：混合方法研究。目的：开发腰椎手术生活质量 (LSQoL) 并对其进行初步验证，这是一种针对腰椎退行性疾病患者的多维患者报告结果测量方法。背景数据摘要：患者报告的结果测量（PROM）广泛用于评估腰椎退行性疾病的结果，但通常组合应用，每种仪器仅捕获患者状态的特定方面。因此，Oswestry 残疾指数 (ODI) 等传统指标的改善并不总是与患者感知的康复或满意度相对应，这凸显了对更好地反映患者体验的多维工具的需求。方法：LSQoL 采用多阶段混合方法开发，包括文献综述、患者访谈、德尔菲法专家共识以及层次分析法 (AHP) 加权。该仪器在 1,996 名腰椎退行性疾病患者中得到验证。评估了内部一致性、重测可靠性、结构有效性以及与已建立的 PROM 的相关性以及患者报告的康复和满意度。结果：LSQoL由疼痛、神经功能、日常生活活动、情绪状态和工作能力五个维度的21个项目组成。内部一致性良好（Cronbach's α：0.744-0.805），重测可靠性很强（ICC：0.759-0.906）。因素分析支持稳定的多维结构。 LSQoL 与已建立的 PROM 具有中等相关性，与患者报告的康复和满意度具有较强的相关性。结论：LSQoL 是一种可靠有效的 PROM，可以对腰椎退行性疾病患者的生活质量进行全面评估。它适用于评估腰椎手术前后患者报告的结果。</w:t>
            </w:r>
          </w:p>
          <w:p>
            <w:pPr>
              <w:spacing w:after="0" w:before="80"/>
            </w:pPr>
            <w:hyperlink w:history="1" r:id="rIdvhiowcgkjvdvqn1ccpgrl">
              <w:r>
                <w:rPr>
                  <w:rFonts w:ascii="Microsoft YaHei UI" w:cs="Microsoft YaHei UI" w:eastAsia="Microsoft YaHei UI" w:hAnsi="Microsoft YaHei UI"/>
                  <w:color w:val="1B6CA8"/>
                  <w:sz w:val="18"/>
                  <w:szCs w:val="18"/>
                  <w:u w:val="single"/>
                </w:rPr>
                <w:t xml:space="preserve">打开原始来源</w:t>
              </w:r>
            </w:hyperlink>
          </w:p>
        </w:tc>
      </w:tr>
    </w:tbl>
    <w:p>
      <w:pPr>
        <w:pStyle w:val="Heading1"/>
        <w:keepNext/>
        <w:spacing w:after="160" w:before="300" w:line="340"/>
      </w:pPr>
      <w:r>
        <w:rPr>
          <w:rFonts w:ascii="Microsoft YaHei UI" w:cs="Microsoft YaHei UI" w:eastAsia="Microsoft YaHei UI" w:hAnsi="Microsoft YaHei UI"/>
          <w:color w:val="152625"/>
          <w:sz w:val="22"/>
          <w:szCs w:val="22"/>
        </w:rPr>
        <w:t xml:space="preserve">涉及分子 / 靶点</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对乙酰氨基酚 / acetaminophen / C8H9NO2（27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布洛芬 / ibuprofen / C13H18O2（22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双氯芬酸钠 / diclofenac sodium / C14H10Cl2NNaO2（19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塞来昔布 / celecoxib / C17H14F3N3O2S（13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苏泽曲吉 / suzetrigine / C21H20F5N3O4（9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美洛昔康 / meloxicam / C14H13N3O4S2（8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萘普生钠 / naproxen sodium / C14H13NaO3（8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依托考昔 / etoricoxib / C18H15ClN2O2S（4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帕瑞昔布钠 / parecoxib sodium / C19H17N2NaO4S（3 条）</w:t>
      </w:r>
    </w:p>
    <w:p>
      <w:pPr>
        <w:pStyle w:val="ListParagraph"/>
        <w:numPr>
          <w:ilvl w:val="0"/>
          <w:numId w:val="1"/>
        </w:numPr>
        <w:spacing w:after="80" w:before="0" w:line="340"/>
      </w:pPr>
      <w:r>
        <w:rPr>
          <w:rFonts w:ascii="Microsoft YaHei UI" w:cs="Microsoft YaHei UI" w:eastAsia="Microsoft YaHei UI" w:hAnsi="Microsoft YaHei UI"/>
          <w:color w:val="152625"/>
          <w:sz w:val="21"/>
          <w:szCs w:val="21"/>
        </w:rPr>
        <w:t xml:space="preserve">洛索洛芬钠 / loxoprofen sodium / C15H17NaO3（2 条）</w:t>
      </w:r>
    </w:p>
    <w:p>
      <w:pPr>
        <w:pStyle w:val="Heading1"/>
        <w:keepNext/>
        <w:spacing w:after="160" w:before="300" w:line="340"/>
      </w:pPr>
      <w:r>
        <w:rPr>
          <w:rFonts w:ascii="Microsoft YaHei UI" w:cs="Microsoft YaHei UI" w:eastAsia="Microsoft YaHei UI" w:hAnsi="Microsoft YaHei UI"/>
          <w:color w:val="152625"/>
          <w:sz w:val="22"/>
          <w:szCs w:val="22"/>
        </w:rPr>
        <w:t xml:space="preserve">建议跟进</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优先核对关节炎和围术期研究的疗效终点</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持续监测 GI、CV 和肾脏安全性</w:t>
      </w:r>
    </w:p>
    <w:p>
      <w:pPr>
        <w:pStyle w:val="ListParagraph"/>
        <w:numPr>
          <w:ilvl w:val="0"/>
          <w:numId w:val="2"/>
        </w:numPr>
        <w:spacing w:after="110" w:before="0" w:line="340"/>
      </w:pPr>
      <w:r>
        <w:rPr>
          <w:rFonts w:ascii="Microsoft YaHei UI" w:cs="Microsoft YaHei UI" w:eastAsia="Microsoft YaHei UI" w:hAnsi="Microsoft YaHei UI"/>
          <w:color w:val="152625"/>
          <w:sz w:val="22"/>
          <w:szCs w:val="22"/>
        </w:rPr>
        <w:t xml:space="preserve">对比 Journavx 等非阿片新机制的适应症和证据成熟度</w:t>
      </w:r>
    </w:p>
    <w:sectPr>
      <w:headerReference w:type="default" r:id="rId7"/>
      <w:footerReference w:type="default" r:id="rId8"/>
      <w:pgSz w:w="11906" w:h="16838" w:orient="portrait"/>
      <w:pgMar w:top="1150" w:right="950" w:bottom="10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UI" w:cs="Microsoft YaHei UI" w:eastAsia="Microsoft YaHei UI" w:hAnsi="Microsoft YaHei UI"/>
        <w:color w:val="5F706E"/>
        <w:sz w:val="17"/>
        <w:szCs w:val="17"/>
      </w:rPr>
      <w:t xml:space="preserve">内部工作材料 ·</w:t>
    </w:r>
    <w:r>
      <w:rPr>
        <w:rFonts w:ascii="Microsoft YaHei UI" w:cs="Microsoft YaHei UI" w:eastAsia="Microsoft YaHei UI" w:hAnsi="Microsoft YaHei UI"/>
        <w:color w:val="5F70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40"/>
      <w:jc w:val="right"/>
    </w:pPr>
    <w:r>
      <w:rPr>
        <w:rFonts w:ascii="Microsoft YaHei UI" w:cs="Microsoft YaHei UI" w:eastAsia="Microsoft YaHei UI" w:hAnsi="Microsoft YaHei UI"/>
        <w:color w:val="5F706E"/>
        <w:sz w:val="17"/>
        <w:szCs w:val="17"/>
      </w:rPr>
      <w:t xml:space="preserve">西乐葆 | 2026年8月产品情报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UI" w:cs="Microsoft YaHei UI" w:eastAsia="Microsoft YaHei UI" w:hAnsi="Microsoft YaHei UI"/>
        <w:color w:val="152625"/>
        <w:sz w:val="22"/>
        <w:szCs w:val="22"/>
      </w:rPr>
    </w:rPrDefault>
    <w:pPrDefault>
      <w:pPr>
        <w:spacing w:after="12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pPr>
    <w:rPr>
      <w:rFonts w:ascii="Microsoft YaHei UI" w:cs="Microsoft YaHei UI" w:eastAsia="Microsoft YaHei UI" w:hAnsi="Microsoft YaHei UI"/>
      <w:b/>
      <w:bCs/>
      <w:color w:val="0B5C55"/>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1ytgyp0qaobbfiudssxs" Type="http://schemas.openxmlformats.org/officeDocument/2006/relationships/hyperlink" Target="https://clinicaltrials.gov/study/NCT07795827" TargetMode="External"/><Relationship Id="rIdivapr8hey8lyp8ev_iov_" Type="http://schemas.openxmlformats.org/officeDocument/2006/relationships/hyperlink" Target="https://clinicaltrials.gov/study/NCT07775248" TargetMode="External"/><Relationship Id="rIdabhy5ioajq0ajn8fnfe_y" Type="http://schemas.openxmlformats.org/officeDocument/2006/relationships/hyperlink" Target="https://clinicaltrials.gov/study/NCT07750639" TargetMode="External"/><Relationship Id="rIdnzh-rqecfgwaxdkdkblxs" Type="http://schemas.openxmlformats.org/officeDocument/2006/relationships/hyperlink" Target="https://clinicaltrials.gov/study/NCT07743606" TargetMode="External"/><Relationship Id="rId7sx0xj-01kzepznrlrxrr" Type="http://schemas.openxmlformats.org/officeDocument/2006/relationships/hyperlink" Target="https://clinicaltrials.gov/study/NCT07102641" TargetMode="External"/><Relationship Id="rIdxb6fg6agj5c37fp9xq7da" Type="http://schemas.openxmlformats.org/officeDocument/2006/relationships/hyperlink" Target="https://clinicaltrials.gov/study/NCT06373978" TargetMode="External"/><Relationship Id="rIdjebejiiyrc7rfpe0znim3" Type="http://schemas.openxmlformats.org/officeDocument/2006/relationships/hyperlink" Target="https://clinicaltrials.gov/study/NCT02763059" TargetMode="External"/><Relationship Id="rId1wsrehkcygwtriayarqhv" Type="http://schemas.openxmlformats.org/officeDocument/2006/relationships/hyperlink" Target="https://clinicaltrials.gov/study/NCT07682558" TargetMode="External"/><Relationship Id="rIdtgmdjcax5ix4bo-pbisby" Type="http://schemas.openxmlformats.org/officeDocument/2006/relationships/hyperlink" Target="https://pubmed.ncbi.nlm.nih.gov/42665353/" TargetMode="External"/><Relationship Id="rIdbsuaawlyykxeoh8d-zdzh" Type="http://schemas.openxmlformats.org/officeDocument/2006/relationships/hyperlink" Target="https://pubmed.ncbi.nlm.nih.gov/42658305/" TargetMode="External"/><Relationship Id="rIdffobxa9qyiqlgx5zjizsf" Type="http://schemas.openxmlformats.org/officeDocument/2006/relationships/hyperlink" Target="https://pubmed.ncbi.nlm.nih.gov/42635092/" TargetMode="External"/><Relationship Id="rIdvhiowcgkjvdvqn1ccpgrl" Type="http://schemas.openxmlformats.org/officeDocument/2006/relationships/hyperlink" Target="https://pubmed.ncbi.nlm.nih.gov/42574363/"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2026年8月西乐葆关注报告</dc:title>
  <dc:creator>Codex</dc:creator>
  <cp:lastModifiedBy>Un-named</cp:lastModifiedBy>
  <cp:revision>1</cp:revision>
  <dcterms:created xsi:type="dcterms:W3CDTF">2026-09-08T04:16:23.113Z</dcterms:created>
  <dcterms:modified xsi:type="dcterms:W3CDTF">2026-09-08T04:16:23.113Z</dcterms:modified>
</cp:coreProperties>
</file>

<file path=docProps/custom.xml><?xml version="1.0" encoding="utf-8"?>
<Properties xmlns="http://schemas.openxmlformats.org/officeDocument/2006/custom-properties" xmlns:vt="http://schemas.openxmlformats.org/officeDocument/2006/docPropsVTypes"/>
</file>