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迪敏思｜2026年8月关注报告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106</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61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5</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2026年8月迪敏思最值得注意的是：过敏性鼻炎管理同时出现鼻喷同类优化与生物制剂向重症上气道疾病延伸。</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106 条有效产品/竞品进展，其中 61 条建议跟进、30 条为高证据。优先记录包括《一项关于丙酸氟替卡松/硫酸沙丁胺醇组合对 12 岁及以上哮喘参与者的疗效和安全性的随机、双盲、安慰剂对照试验》、《去除口服吸入的丙酸氟替卡松的新方法》。</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优先查看重症/潜在竞品；Dupixent、同类竞品；Rhinocort、重症/潜在竞品；Xolair、本品/同成分；迪敏思/Dymista，并把同一研究在不同检索路径下的重复命中合并判断。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鼻喷方案决定常规中重度患者的起始控制，而生物制剂会重塑伴哮喘、鼻息肉或难治患者的升级路径。</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区分 AR、CRSwNP 和哮喘人群，不混用适应症；跟踪鼻喷复方的起效、症状控制和依从性；建立重症患者向生物制剂升级的证据地图。</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一项关于丙酸氟替卡松/硫酸沙丁胺醇组合对 12 岁及以上哮喘参与者的疗效和安全性的随机、双盲、安慰剂对照试验</w:t>
            </w:r>
          </w:p>
          <w:p>
            <w:pPr>
              <w:spacing w:after="0" w:before="0" w:line="320"/>
            </w:pPr>
            <w:r>
              <w:rPr>
                <w:rFonts w:ascii="Microsoft YaHei UI" w:cs="Microsoft YaHei UI" w:eastAsia="Microsoft YaHei UI" w:hAnsi="Microsoft YaHei UI"/>
                <w:color w:val="5F706E"/>
                <w:sz w:val="20"/>
                <w:szCs w:val="20"/>
              </w:rPr>
              <w:t xml:space="preserve">ClinicalTrials.gov 研究：一项关于丙酸氟替卡松/硫酸沙丁胺醇组合对 12 岁及以上哮喘参与者的疗效和安全性的随机、双盲、安慰剂对照试验；NCT：NCT06664619；状态：招募中；阶段：3期；适应症/疾病：Asthma；首次发布：2024-10-29；最近更新：2026-08-31。</w:t>
            </w:r>
          </w:p>
          <w:p>
            <w:pPr>
              <w:spacing w:after="0" w:before="80"/>
            </w:pPr>
            <w:hyperlink w:history="1" r:id="rIdgalahk4qotw7tdcclcqc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本品/同成分；迪敏思/Dymista</w:t>
            </w:r>
          </w:p>
          <w:p>
            <w:pPr>
              <w:spacing w:after="0" w:before="0" w:line="320"/>
            </w:pPr>
            <w:r>
              <w:rPr>
                <w:rFonts w:ascii="Microsoft YaHei UI" w:cs="Microsoft YaHei UI" w:eastAsia="Microsoft YaHei UI" w:hAnsi="Microsoft YaHei UI"/>
                <w:color w:val="152625"/>
                <w:sz w:val="20"/>
                <w:szCs w:val="20"/>
              </w:rPr>
              <w:t xml:space="preserve">同成分复方与局部抗炎抗过敏竞争；建议查看研究设计、入排标准和终点，判断对迪敏思或同机制竞品监测的影响。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去除口服吸入的丙酸氟替卡松的新方法</w:t>
            </w:r>
          </w:p>
          <w:p>
            <w:pPr>
              <w:spacing w:after="0" w:before="0" w:line="320"/>
            </w:pPr>
            <w:r>
              <w:rPr>
                <w:rFonts w:ascii="Microsoft YaHei UI" w:cs="Microsoft YaHei UI" w:eastAsia="Microsoft YaHei UI" w:hAnsi="Microsoft YaHei UI"/>
                <w:color w:val="5F706E"/>
                <w:sz w:val="20"/>
                <w:szCs w:val="20"/>
              </w:rPr>
              <w:t xml:space="preserve">ClinicalTrials.gov 研究：去除口服吸入的丙酸氟替卡松的新方法；NCT：NCT07664527；状态：尚未招募；阶段：4期；适应症/疾病：Asthma；首次发布：2026-06-24；最近更新：2026-08-31。</w:t>
            </w:r>
          </w:p>
          <w:p>
            <w:pPr>
              <w:spacing w:after="0" w:before="80"/>
            </w:pPr>
            <w:hyperlink w:history="1" r:id="rIdinsmxmd_sdcfxzh5m_ucb">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本品/同成分；迪敏思/Dymista</w:t>
            </w:r>
          </w:p>
          <w:p>
            <w:pPr>
              <w:spacing w:after="0" w:before="0" w:line="320"/>
            </w:pPr>
            <w:r>
              <w:rPr>
                <w:rFonts w:ascii="Microsoft YaHei UI" w:cs="Microsoft YaHei UI" w:eastAsia="Microsoft YaHei UI" w:hAnsi="Microsoft YaHei UI"/>
                <w:color w:val="152625"/>
                <w:sz w:val="20"/>
                <w:szCs w:val="20"/>
              </w:rPr>
              <w:t xml:space="preserve">同成分复方与局部抗炎抗过敏竞争；建议查看研究设计、入排标准和终点，判断对迪敏思或同机制竞品监测的影响。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一项评估 QVM149（醋酸茚达特罗 / 格隆溴铵 / 糠酸莫米松）与沙美特罗昔萘酸 / 丙酸氟替卡松对 12 岁至 18 岁以下哮喘儿童的疗效和安全性的研究。</w:t>
            </w:r>
          </w:p>
          <w:p>
            <w:pPr>
              <w:spacing w:after="0" w:before="0" w:line="320"/>
            </w:pPr>
            <w:r>
              <w:rPr>
                <w:rFonts w:ascii="Microsoft YaHei UI" w:cs="Microsoft YaHei UI" w:eastAsia="Microsoft YaHei UI" w:hAnsi="Microsoft YaHei UI"/>
                <w:color w:val="5F706E"/>
                <w:sz w:val="20"/>
                <w:szCs w:val="20"/>
              </w:rPr>
              <w:t xml:space="preserve">ClinicalTrials.gov 研究：一项评估 QVM149（醋酸茚达特罗 / 格隆溴铵 / 糠酸莫米松）与沙美特罗昔萘酸 / 丙酸氟替卡松对 12 岁至 18 岁以下哮喘儿童的疗效和安全性的研究。；NCT：NCT05776927；状态：招募中；阶段：3期；适应症/疾病：Asthma；首次发布：2023-03-20；最近更新：2026-08-26。</w:t>
            </w:r>
          </w:p>
          <w:p>
            <w:pPr>
              <w:spacing w:after="0" w:before="80"/>
            </w:pPr>
            <w:hyperlink w:history="1" r:id="rIdoz8ufziznljla5m03evv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本品/同成分；迪敏思/Dymista</w:t>
            </w:r>
          </w:p>
          <w:p>
            <w:pPr>
              <w:spacing w:after="0" w:before="0" w:line="320"/>
            </w:pPr>
            <w:r>
              <w:rPr>
                <w:rFonts w:ascii="Microsoft YaHei UI" w:cs="Microsoft YaHei UI" w:eastAsia="Microsoft YaHei UI" w:hAnsi="Microsoft YaHei UI"/>
                <w:color w:val="152625"/>
                <w:sz w:val="20"/>
                <w:szCs w:val="20"/>
              </w:rPr>
              <w:t xml:space="preserve">同成分复方与局部抗炎抗过敏竞争；建议查看研究设计、入排标准和终点，判断对迪敏思或同机制竞品监测的影响。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中国青少年的Dymista</w:t>
            </w:r>
          </w:p>
          <w:p>
            <w:pPr>
              <w:spacing w:after="0" w:before="0" w:line="320"/>
            </w:pPr>
            <w:r>
              <w:rPr>
                <w:rFonts w:ascii="Microsoft YaHei UI" w:cs="Microsoft YaHei UI" w:eastAsia="Microsoft YaHei UI" w:hAnsi="Microsoft YaHei UI"/>
                <w:color w:val="5F706E"/>
                <w:sz w:val="20"/>
                <w:szCs w:val="20"/>
              </w:rPr>
              <w:t xml:space="preserve">ClinicalTrials.gov 研究：中国青少年的Dymista；NCT：NCT07597473；状态：招募中；阶段：4期；适应症/疾病：过敏原引起的过敏性鼻炎；首次发布：2026-05-19；最近更新：2026-08-17。</w:t>
            </w:r>
          </w:p>
          <w:p>
            <w:pPr>
              <w:spacing w:after="0" w:before="80"/>
            </w:pPr>
            <w:hyperlink w:history="1" r:id="rIdiqonovzsqrvua5b4frar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本品/同成分；迪敏思/Dymista</w:t>
            </w:r>
          </w:p>
          <w:p>
            <w:pPr>
              <w:spacing w:after="0" w:before="0" w:line="320"/>
            </w:pPr>
            <w:r>
              <w:rPr>
                <w:rFonts w:ascii="Microsoft YaHei UI" w:cs="Microsoft YaHei UI" w:eastAsia="Microsoft YaHei UI" w:hAnsi="Microsoft YaHei UI"/>
                <w:color w:val="152625"/>
                <w:sz w:val="20"/>
                <w:szCs w:val="20"/>
              </w:rPr>
              <w:t xml:space="preserve">同成分复方与局部抗炎抗过敏竞争；建议查看研究设计、入排标准和终点，判断对迪敏思或同机制竞品监测的影响。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9MW4113 注射液与 Dupixent® 的 I 期研究</w:t>
            </w:r>
          </w:p>
          <w:p>
            <w:pPr>
              <w:spacing w:after="0" w:before="0" w:line="320"/>
            </w:pPr>
            <w:r>
              <w:rPr>
                <w:rFonts w:ascii="Microsoft YaHei UI" w:cs="Microsoft YaHei UI" w:eastAsia="Microsoft YaHei UI" w:hAnsi="Microsoft YaHei UI"/>
                <w:color w:val="5F706E"/>
                <w:sz w:val="20"/>
                <w:szCs w:val="20"/>
              </w:rPr>
              <w:t xml:space="preserve">ClinicalTrials.gov 研究：9MW4113 注射液与 Dupixent® 的 I 期研究；NCT：NCT07791342；状态：活跃，已停止招募；阶段：1期；适应症/疾病：健康的参与者；首次发布：2026-08-27；最近更新：2026-08-27。</w:t>
            </w:r>
          </w:p>
          <w:p>
            <w:pPr>
              <w:spacing w:after="0" w:before="80"/>
            </w:pPr>
            <w:hyperlink w:history="1" r:id="rIds-2ziwoeg-lfpkm6i1zlu">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重症/潜在竞品；Dupixent</w:t>
            </w:r>
          </w:p>
          <w:p>
            <w:pPr>
              <w:spacing w:after="0" w:before="0" w:line="320"/>
            </w:pPr>
            <w:r>
              <w:rPr>
                <w:rFonts w:ascii="Microsoft YaHei UI" w:cs="Microsoft YaHei UI" w:eastAsia="Microsoft YaHei UI" w:hAnsi="Microsoft YaHei UI"/>
                <w:color w:val="152625"/>
                <w:sz w:val="20"/>
                <w:szCs w:val="20"/>
              </w:rPr>
              <w:t xml:space="preserve">鼻息肉、过敏炎症相关高阶治疗路径；建议查看研究设计、入排标准和终点，判断对迪敏思或同机制竞品监测的影响。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黄连木油鼻喷雾剂含减剂量莫米松治疗慢性鼻窦炎</w:t>
            </w:r>
          </w:p>
          <w:p>
            <w:pPr>
              <w:spacing w:after="0" w:before="0" w:line="320"/>
            </w:pPr>
            <w:r>
              <w:rPr>
                <w:rFonts w:ascii="Microsoft YaHei UI" w:cs="Microsoft YaHei UI" w:eastAsia="Microsoft YaHei UI" w:hAnsi="Microsoft YaHei UI"/>
                <w:color w:val="5F706E"/>
                <w:sz w:val="20"/>
                <w:szCs w:val="20"/>
              </w:rPr>
              <w:t xml:space="preserve">ClinicalTrials.gov 研究：黄连木油鼻喷雾剂含减剂量莫米松治疗慢性鼻窦炎；NCT：NCT07787494；状态：尚未招募；阶段：不适用；适应症/疾病：慢性鼻窦炎（CRS）；首次发布：2026-08-26；最近更新：2026-08-26。</w:t>
            </w:r>
          </w:p>
          <w:p>
            <w:pPr>
              <w:spacing w:after="0" w:before="80"/>
            </w:pPr>
            <w:hyperlink w:history="1" r:id="rId8tbeviqb_vlz5bupgmvf2">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同类竞品；Nasonex</w:t>
            </w:r>
          </w:p>
          <w:p>
            <w:pPr>
              <w:spacing w:after="0" w:before="0" w:line="320"/>
            </w:pPr>
            <w:r>
              <w:rPr>
                <w:rFonts w:ascii="Microsoft YaHei UI" w:cs="Microsoft YaHei UI" w:eastAsia="Microsoft YaHei UI" w:hAnsi="Microsoft YaHei UI"/>
                <w:color w:val="152625"/>
                <w:sz w:val="20"/>
                <w:szCs w:val="20"/>
              </w:rPr>
              <w:t xml:space="preserve">鼻炎局部激素替代；建议查看研究设计、入排标准和终点，判断对迪敏思或同机制竞品监测的影响。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QUARTZ：从沙丁胺醇转为沙丁胺醇/布地奈德与在沙丁胺醇中添加低剂量 ICS 或 LTRA 的效果比较</w:t>
            </w:r>
          </w:p>
          <w:p>
            <w:pPr>
              <w:spacing w:after="0" w:before="0" w:line="320"/>
            </w:pPr>
            <w:r>
              <w:rPr>
                <w:rFonts w:ascii="Microsoft YaHei UI" w:cs="Microsoft YaHei UI" w:eastAsia="Microsoft YaHei UI" w:hAnsi="Microsoft YaHei UI"/>
                <w:color w:val="5F706E"/>
                <w:sz w:val="20"/>
                <w:szCs w:val="20"/>
              </w:rPr>
              <w:t xml:space="preserve">ClinicalTrials.gov 研究：QUARTZ：从沙丁胺醇转为沙丁胺醇/布地奈德与在沙丁胺醇中添加低剂量 ICS 或 LTRA 的效果比较；NCT：NCT07787117；状态：尚未招募；阶段：不适用；适应症/疾病：Asthma；首次发布：2026-08-26；最近更新：2026-08-26。</w:t>
            </w:r>
          </w:p>
          <w:p>
            <w:pPr>
              <w:spacing w:after="0" w:before="80"/>
            </w:pPr>
            <w:hyperlink w:history="1" r:id="rIdgcwxi19-2h9_kqvfy-7v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同类竞品；Rhinocort</w:t>
            </w:r>
          </w:p>
          <w:p>
            <w:pPr>
              <w:spacing w:after="0" w:before="0" w:line="320"/>
            </w:pPr>
            <w:r>
              <w:rPr>
                <w:rFonts w:ascii="Microsoft YaHei UI" w:cs="Microsoft YaHei UI" w:eastAsia="Microsoft YaHei UI" w:hAnsi="Microsoft YaHei UI"/>
                <w:color w:val="152625"/>
                <w:sz w:val="20"/>
                <w:szCs w:val="20"/>
              </w:rPr>
              <w:t xml:space="preserve">鼻炎局部激素替代；建议查看研究设计、入排标准和终点，判断对迪敏思或同机制竞品监测的影响。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蝶腭神经节针刺治疗过敏性鼻炎</w:t>
            </w:r>
          </w:p>
          <w:p>
            <w:pPr>
              <w:spacing w:after="0" w:before="0" w:line="320"/>
            </w:pPr>
            <w:r>
              <w:rPr>
                <w:rFonts w:ascii="Microsoft YaHei UI" w:cs="Microsoft YaHei UI" w:eastAsia="Microsoft YaHei UI" w:hAnsi="Microsoft YaHei UI"/>
                <w:color w:val="5F706E"/>
                <w:sz w:val="20"/>
                <w:szCs w:val="20"/>
              </w:rPr>
              <w:t xml:space="preserve">ClinicalTrials.gov 研究：蝶腭神经节针刺治疗过敏性鼻炎；NCT：NCT07784491；状态：尚未招募；阶段：不适用；适应症/疾病：过敏性鼻炎；首次发布：2026-08-25；最近更新：2026-08-28。</w:t>
            </w:r>
          </w:p>
          <w:p>
            <w:pPr>
              <w:spacing w:after="0" w:before="80"/>
            </w:pPr>
            <w:hyperlink w:history="1" r:id="rId-uxik7lvb7wui6jsyi_16">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同类竞品；Nasonex</w:t>
            </w:r>
          </w:p>
          <w:p>
            <w:pPr>
              <w:spacing w:after="0" w:before="0" w:line="320"/>
            </w:pPr>
            <w:r>
              <w:rPr>
                <w:rFonts w:ascii="Microsoft YaHei UI" w:cs="Microsoft YaHei UI" w:eastAsia="Microsoft YaHei UI" w:hAnsi="Microsoft YaHei UI"/>
                <w:color w:val="152625"/>
                <w:sz w:val="20"/>
                <w:szCs w:val="20"/>
              </w:rPr>
              <w:t xml:space="preserve">鼻炎局部激素替代；建议查看研究设计、入排标准和终点，判断对迪敏思或同机制竞品监测的影响。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杨钦泰｜中山大学附属第三医院</w:t>
            </w:r>
          </w:p>
          <w:p>
            <w:pPr>
              <w:spacing w:after="70" w:before="0" w:line="340"/>
            </w:pPr>
            <w:r>
              <w:rPr>
                <w:rFonts w:ascii="Microsoft YaHei UI" w:cs="Microsoft YaHei UI" w:eastAsia="Microsoft YaHei UI" w:hAnsi="Microsoft YaHei UI"/>
                <w:b/>
                <w:bCs/>
                <w:color w:val="152625"/>
                <w:sz w:val="22"/>
                <w:szCs w:val="22"/>
              </w:rPr>
              <w:t xml:space="preserve">鼻息肉空间病理学的当前进展：人工智能的挑战、机遇和未来方向。</w:t>
            </w:r>
          </w:p>
          <w:p>
            <w:pPr>
              <w:spacing w:after="0" w:before="0" w:line="320"/>
            </w:pPr>
            <w:r>
              <w:rPr>
                <w:rFonts w:ascii="Microsoft YaHei UI" w:cs="Microsoft YaHei UI" w:eastAsia="Microsoft YaHei UI" w:hAnsi="Microsoft YaHei UI"/>
                <w:color w:val="5F706E"/>
                <w:sz w:val="20"/>
                <w:szCs w:val="20"/>
              </w:rPr>
              <w:t xml:space="preserve">研究主题：鼻息肉空间病理学的当前进展：人工智能的挑战、机遇和未来方向。。摘要要点：慢性鼻窦炎伴鼻息肉（CRSwNP）的特点是炎症异质性、上皮增生和组织重塑，空间病理学对于破译病理机制和指导临床实践至关重要。传统的组织病理学技术依赖于主观视觉评估，受到分子标记空间分辨率不足和定量分析不精确的限制。最近的进展表明，空间转录组学揭示了鼻息肉（NP）炎症异质性；深度学习能够实现自动化炎症子集识别和精确的内型预测；人工智能 (AI) 集成框架改变了组织重塑、血管生成和纤维炎症生态位的评估。支持人工智能的空间病理学将形态学和分子特征联系起来，完善 NP 内型分析，并为靶向生物治疗和精准护理铺平道路。本综述总结了传统和新兴的 NP 空间病理学方法的进展，重点关注人工智能工具及其临床转化潜力。</w:t>
            </w:r>
          </w:p>
          <w:p>
            <w:pPr>
              <w:spacing w:after="0" w:before="80"/>
            </w:pPr>
            <w:hyperlink w:history="1" r:id="rIdjaqoskb5wzp_cw7_gbtcy">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2026-08-25</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杨钦泰｜中山大学附属第三医院</w:t>
            </w:r>
          </w:p>
          <w:p>
            <w:pPr>
              <w:spacing w:after="70" w:before="0" w:line="340"/>
            </w:pPr>
            <w:r>
              <w:rPr>
                <w:rFonts w:ascii="Microsoft YaHei UI" w:cs="Microsoft YaHei UI" w:eastAsia="Microsoft YaHei UI" w:hAnsi="Microsoft YaHei UI"/>
                <w:b/>
                <w:bCs/>
                <w:color w:val="152625"/>
                <w:sz w:val="22"/>
                <w:szCs w:val="22"/>
              </w:rPr>
              <w:t xml:space="preserve">小青龙汤通过调节 ALOX15/GPX4 轴减轻过敏性鼻炎合并哮喘。</w:t>
            </w:r>
          </w:p>
          <w:p>
            <w:pPr>
              <w:spacing w:after="0" w:before="0" w:line="320"/>
            </w:pPr>
            <w:r>
              <w:rPr>
                <w:rFonts w:ascii="Microsoft YaHei UI" w:cs="Microsoft YaHei UI" w:eastAsia="Microsoft YaHei UI" w:hAnsi="Microsoft YaHei UI"/>
                <w:color w:val="5F706E"/>
                <w:sz w:val="20"/>
                <w:szCs w:val="20"/>
              </w:rPr>
              <w:t xml:space="preserve">研究主题：小青龙汤通过调节 ALOX15/GPX4 轴减轻过敏性鼻炎合并哮喘。。摘要要点：目的：小青龙汤（XQLD）是治疗过敏性鼻炎（AR）和哮喘的经典中药方剂。然而，其治疗过敏性鼻炎合并哮喘（ARCA）的潜在治疗机制仍不清楚。本研究采用蛋白质组学方法探讨XQLD治疗ARCA的疗效及分子机制，旨在为临床研究提供科学依据。方法：40只BALB/c小鼠随机分为四组：对照组、模型组、地塞米松治疗组和XQLD治疗组。使用卵清蛋白 (OVA) 和氢氧化铝建立 ARCA 模型。评估了气道过敏症状、OVA-sIgE 的血清水平以及鼻和肺组织的组织病理学变化。流式细胞仪分析肺、脾组织中Th1（CD4+IFN-γ+）和Th2（CD4+IL-5+）细胞比例。进行蛋白质组分析以确定差异表达的蛋白质，随后对这些蛋白质进行基因本体论（GO）和京都基因和基因组百科全书（KEGG）途径富集分析。使用蛋白质印迹和免疫荧光染色验证抗花生四烯酸 15-脂氧合酶 (ALOX15) 和抗谷胱甘肽过氧化物酶 4 (GPX4) 的表达水平。结果：ARCA模型小鼠表现出气道过敏症状评分和血清OVA-sIgE水平升高，伴有鼻和肺组织明显的炎症细胞浸润和杯状细胞增生。观察到明显的 Th1/Th2 失衡，其特征是 Th1 和 Th2 细胞频率升高以及 Th1/Th2 比率降低。此外，ARCA 模型小鼠显示 ALOX15 表达上调，GPX4 表达下调。XQLD 治疗改善了这些病理学和免疫学异常。</w:t>
            </w:r>
          </w:p>
          <w:p>
            <w:pPr>
              <w:spacing w:after="0" w:before="80"/>
            </w:pPr>
            <w:hyperlink w:history="1" r:id="rId3yhhrp2-ccokwt58d-mvj">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2026-08-23</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张罗｜首都医科大学附属北京同仁医院</w:t>
            </w:r>
          </w:p>
          <w:p>
            <w:pPr>
              <w:spacing w:after="70" w:before="0" w:line="340"/>
            </w:pPr>
            <w:r>
              <w:rPr>
                <w:rFonts w:ascii="Microsoft YaHei UI" w:cs="Microsoft YaHei UI" w:eastAsia="Microsoft YaHei UI" w:hAnsi="Microsoft YaHei UI"/>
                <w:b/>
                <w:bCs/>
                <w:color w:val="152625"/>
                <w:sz w:val="22"/>
                <w:szCs w:val="22"/>
              </w:rPr>
              <w:t xml:space="preserve">pumecitinib 鼻喷雾剂治疗中重度季节性过敏性鼻炎的功效、安全性和药代动力学：一项多中心、双盲、随机、安慰剂对照 2 期试验。</w:t>
            </w:r>
          </w:p>
          <w:p>
            <w:pPr>
              <w:spacing w:after="0" w:before="0" w:line="320"/>
            </w:pPr>
            <w:r>
              <w:rPr>
                <w:rFonts w:ascii="Microsoft YaHei UI" w:cs="Microsoft YaHei UI" w:eastAsia="Microsoft YaHei UI" w:hAnsi="Microsoft YaHei UI"/>
                <w:color w:val="5F706E"/>
                <w:sz w:val="20"/>
                <w:szCs w:val="20"/>
              </w:rPr>
              <w:t xml:space="preserve">研究主题：pumecitinib 鼻喷雾剂治疗中重度季节性过敏性鼻炎的功效、安全性和药代动力学：一项多中心、双盲、随机、安慰剂对照 2 期试验。。摘要要点：背景：季节性过敏性鼻炎（SAR）是一种花粉引发的疾病，会导致鼻部炎症和生活质量受损。Pumecitinib 是一种局部 Janus 激酶 (JAK) 抑制剂，可以调节过敏性炎症。我们评估了花粉季节期间 14 天的普美替尼鼻喷雾剂对中度至重度季节性过敏性鼻炎 (SAR) 患者的疗效、安全性和药代动力学。方法：这项 2 期、随机、双盲、安慰剂对照、平行组研究在中国 20 个中心进行。患有中度至重度 SAR 的 18-65 岁成年人按 1:1:1:1 随机接受安慰剂或 pumecitinib 鼻喷雾剂，剂量为 0·2 mg、1·2 mg 或 2·0 mg，每天两次，持续 14 天。主要疗效终点是 14 天内每日反射性总鼻症状评分 (rTNSS) 相对于基线的平均变化。次要终点包括反射性总眼部症状（rTOSS）、个体鼻部和眼部症状以及鼻结膜炎生活质量问卷（RQLQ）评分。本研究在 chitr.org.cn 注册，ChiCTR2400081767，并已完成。结果：2024 年 3 月 20 日至 6 月 5 日期间，169 名患者被随机分配，168 名患者接受治疗（92 名男性，76 名女性），并纳入完整分析组。</w:t>
            </w:r>
          </w:p>
          <w:p>
            <w:pPr>
              <w:spacing w:after="0" w:before="80"/>
            </w:pPr>
            <w:hyperlink w:history="1" r:id="rIdfzolwxqxk3ev42efdlmdj">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蒋卫红｜中南大学湘雅医院</w:t>
            </w:r>
          </w:p>
          <w:p>
            <w:pPr>
              <w:spacing w:after="70" w:before="0" w:line="340"/>
            </w:pPr>
            <w:r>
              <w:rPr>
                <w:rFonts w:ascii="Microsoft YaHei UI" w:cs="Microsoft YaHei UI" w:eastAsia="Microsoft YaHei UI" w:hAnsi="Microsoft YaHei UI"/>
                <w:b/>
                <w:bCs/>
                <w:color w:val="152625"/>
                <w:sz w:val="22"/>
                <w:szCs w:val="22"/>
              </w:rPr>
              <w:t xml:space="preserve">VCAM-1 作为区分嗜酸性 CRSwNP 的生物标志物并调节 IL-13 诱导的血管重塑。</w:t>
            </w:r>
          </w:p>
          <w:p>
            <w:pPr>
              <w:spacing w:after="0" w:before="0" w:line="320"/>
            </w:pPr>
            <w:r>
              <w:rPr>
                <w:rFonts w:ascii="Microsoft YaHei UI" w:cs="Microsoft YaHei UI" w:eastAsia="Microsoft YaHei UI" w:hAnsi="Microsoft YaHei UI"/>
                <w:color w:val="5F706E"/>
                <w:sz w:val="20"/>
                <w:szCs w:val="20"/>
              </w:rPr>
              <w:t xml:space="preserve">研究主题：VCAM-1 作为区分嗜酸性 CRSwNP 的生物标志物并调节 IL-13 诱导的血管重塑。。摘要要点：背景慢性鼻窦炎伴鼻息肉（CRSwNP）是一种高度异质性的炎症性疾病，具有不同的炎症内型。本研究旨在寻找准确区分嗜酸性粒细胞性CRSwNP（eCRSwNP）的可靠生物标志物，并探讨其在CRSwNP病理进展中的潜在作用。方法共纳入107例CRS患者（包括22例CRSsNP和85例CRSwNP）和40例健康对照。通过蛋白质微阵列结合随机森林算法筛选eCRSwNP相关差异表达蛋白。候选蛋白的表达在临床组织和血清中得到验证。应用相关性分析和受试者工作特征（ROC）曲线来评估候选分子与嗜酸性炎症和疾病预后的关联。进行苏木精和伊红（HE）染色以评估组织病理学变化。利用人脐静脉内皮细胞（HUVEC）探讨IL-13对VCAM-1表达和血管生成的调节作用。进一步采用siRNA敲低和管形成实验来验证其功能机制。结果蛋白质芯片和机器学习分析确定VCAM-1是与CRSwNP内型相关的主要分子。CRSwNP 患者的组织和血清中 VCAM-1 表达均显着升高，尤其是嗜酸性粒细胞 CRSwNP (eCRSwNP) 组。HE染色显示，与对照组和CRSsNP组相比，CRSwNP组的新生血管显着增加，尤其是eCRSwNP组。多重免疫荧光显示 eCRSwNP 组织血管区域 VCAM-1/CD31 共表达增加。</w:t>
            </w:r>
          </w:p>
          <w:p>
            <w:pPr>
              <w:spacing w:after="0" w:before="80"/>
            </w:pPr>
            <w:hyperlink w:history="1" r:id="rId2zdqvrqxmjqcgzhxpwzrv">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2026-08-10</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杨钦泰｜中山大学附属第三医院</w:t>
            </w:r>
          </w:p>
          <w:p>
            <w:pPr>
              <w:spacing w:after="70" w:before="0" w:line="340"/>
            </w:pPr>
            <w:r>
              <w:rPr>
                <w:rFonts w:ascii="Microsoft YaHei UI" w:cs="Microsoft YaHei UI" w:eastAsia="Microsoft YaHei UI" w:hAnsi="Microsoft YaHei UI"/>
                <w:b/>
                <w:bCs/>
                <w:color w:val="152625"/>
                <w:sz w:val="22"/>
                <w:szCs w:val="22"/>
              </w:rPr>
              <w:t xml:space="preserve">基于蛋白质组学的加味参芪丸治疗过敏性鼻炎合并哮喘的机制研究。</w:t>
            </w:r>
          </w:p>
          <w:p>
            <w:pPr>
              <w:spacing w:after="0" w:before="0" w:line="320"/>
            </w:pPr>
            <w:r>
              <w:rPr>
                <w:rFonts w:ascii="Microsoft YaHei UI" w:cs="Microsoft YaHei UI" w:eastAsia="Microsoft YaHei UI" w:hAnsi="Microsoft YaHei UI"/>
                <w:color w:val="5F706E"/>
                <w:sz w:val="20"/>
                <w:szCs w:val="20"/>
              </w:rPr>
              <w:t xml:space="preserve">研究主题：基于蛋白质组学的加味参芪丸治疗过敏性鼻炎合并哮喘的机制研究。。摘要要点：目的：探讨加味参芪丸（MSQP）治疗过敏性鼻炎合并哮喘（ARCA）的作用机制。方法：将30只BALB/c小鼠按照随机数字表法分为对照组、ARCA组、MSQP低剂量组（MSQP-L，24.6 g/kg）、MSQP高剂量组（MSQP-H，49.2 g/kg）和地塞米松（DXMS）组（1 mg/kg），每组6只。使用卵清蛋白（OVA）建立ARCA小鼠模型。MSQP和DXMS通过灌胃给药10天。评估气道过敏症状评分、血清OVA特异性免疫球蛋白E（OVA-sIgE）、鼻和肺组织的组织病理学变化。通过蛋白质组学检测肺组织中的差异蛋白表达谱。使用基因本体论（GO）和京都基因和基因组百科全书（KEGG）数据库进行差异蛋白的功能富集分析。通过免疫组织化学 (IHC) 和蛋白质印迹评估 JAK2/STAT1 信号通路的激活。通过 CD19 和 MHC II 免疫荧光 (IF) 双染色检测 B 淋巴细胞的激活。采用流式细胞仪分析肺和脾组织中Th1、Th2和Th17细胞的比例。结果：与ARCA组相比，MSQP显着降低气道过敏症状评分和血清OVA-sIgE水平，并减少鼻腔和肺组织嗜酸性粒细胞浸润和杯状细胞增生（P&lt;0.05或P&lt;0.01）。GO和KEGG分析显示MSQP和ARCA组之间的差异蛋白主要与免疫调节相关，涉及信号通路包括JAK/STAT、MHC II介导的抗原呈递、Th1/Th2分化和Th17分化。</w:t>
            </w:r>
          </w:p>
          <w:p>
            <w:pPr>
              <w:spacing w:after="0" w:before="80"/>
            </w:pPr>
            <w:hyperlink w:history="1" r:id="rIdsjkn01fztockxs6r7jv9o">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度普利尤单抗 / dupilumab / 不适用：抗体/融合蛋白/大分子药物，分子量和糖基化等取决于序列与生产工艺（28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布地奈德 / budesonide / C25H34O6（19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奥马珠单抗 / omalizumab / 不适用：抗体/融合蛋白/大分子药物，分子量和糖基化等取决于序列与生产工艺（18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盐酸氮卓斯汀+丙酸氟替卡松 / azelastine hydrochloride + fluticasone propionate / C22H25Cl2N3O + C25H31F3O5S（12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糠酸氟替卡松 / fluticasone furoate / C27H29F3O6S（11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糠酸莫米松 / mometasone furoate / C27H30Cl2O6（7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盐酸非索非那定 / fexofenadine hydrochloride / C32H40ClNO4（4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倍氯米松二丙酸酯 / beclomethasone dipropionate / C28H37ClO7（3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地氯雷他定 / desloratadine / C19H19ClN2（2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盐酸奥洛他定 / olopatadine hydrochloride / C21H24ClNO3（1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区分 AR、CRSwNP 和哮喘人群，不混用适应症</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跟踪鼻喷复方的起效、症状控制和依从性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建立重症患者向生物制剂升级的证据地图</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迪敏思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alahk4qotw7tdcclcqci" Type="http://schemas.openxmlformats.org/officeDocument/2006/relationships/hyperlink" Target="https://clinicaltrials.gov/study/NCT06664619" TargetMode="External"/><Relationship Id="rIdinsmxmd_sdcfxzh5m_ucb" Type="http://schemas.openxmlformats.org/officeDocument/2006/relationships/hyperlink" Target="https://clinicaltrials.gov/study/NCT07664527" TargetMode="External"/><Relationship Id="rIdoz8ufziznljla5m03evva" Type="http://schemas.openxmlformats.org/officeDocument/2006/relationships/hyperlink" Target="https://clinicaltrials.gov/study/NCT05776927" TargetMode="External"/><Relationship Id="rIdiqonovzsqrvua5b4frari" Type="http://schemas.openxmlformats.org/officeDocument/2006/relationships/hyperlink" Target="https://clinicaltrials.gov/study/NCT07597473" TargetMode="External"/><Relationship Id="rIds-2ziwoeg-lfpkm6i1zlu" Type="http://schemas.openxmlformats.org/officeDocument/2006/relationships/hyperlink" Target="https://clinicaltrials.gov/study/NCT07791342" TargetMode="External"/><Relationship Id="rId8tbeviqb_vlz5bupgmvf2" Type="http://schemas.openxmlformats.org/officeDocument/2006/relationships/hyperlink" Target="https://clinicaltrials.gov/study/NCT07787494" TargetMode="External"/><Relationship Id="rIdgcwxi19-2h9_kqvfy-7vp" Type="http://schemas.openxmlformats.org/officeDocument/2006/relationships/hyperlink" Target="https://clinicaltrials.gov/study/NCT07787117" TargetMode="External"/><Relationship Id="rId-uxik7lvb7wui6jsyi_16" Type="http://schemas.openxmlformats.org/officeDocument/2006/relationships/hyperlink" Target="https://clinicaltrials.gov/study/NCT07784491" TargetMode="External"/><Relationship Id="rIdjaqoskb5wzp_cw7_gbtcy" Type="http://schemas.openxmlformats.org/officeDocument/2006/relationships/hyperlink" Target="https://pubmed.ncbi.nlm.nih.gov/42662489/" TargetMode="External"/><Relationship Id="rId3yhhrp2-ccokwt58d-mvj" Type="http://schemas.openxmlformats.org/officeDocument/2006/relationships/hyperlink" Target="https://pubmed.ncbi.nlm.nih.gov/42619506/" TargetMode="External"/><Relationship Id="rIdfzolwxqxk3ev42efdlmdj" Type="http://schemas.openxmlformats.org/officeDocument/2006/relationships/hyperlink" Target="https://pubmed.ncbi.nlm.nih.gov/42656228/" TargetMode="External"/><Relationship Id="rId2zdqvrqxmjqcgzhxpwzrv" Type="http://schemas.openxmlformats.org/officeDocument/2006/relationships/hyperlink" Target="https://pubmed.ncbi.nlm.nih.gov/42610931/" TargetMode="External"/><Relationship Id="rIdsjkn01fztockxs6r7jv9o" Type="http://schemas.openxmlformats.org/officeDocument/2006/relationships/hyperlink" Target="https://pubmed.ncbi.nlm.nih.gov/42573910/"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2026年8月迪敏思关注报告</dc:title>
  <dc:creator>Codex</dc:creator>
  <cp:lastModifiedBy>Un-named</cp:lastModifiedBy>
  <cp:revision>1</cp:revision>
  <dcterms:created xsi:type="dcterms:W3CDTF">2026-09-08T04:16:23.154Z</dcterms:created>
  <dcterms:modified xsi:type="dcterms:W3CDTF">2026-09-08T04:16:23.154Z</dcterms:modified>
</cp:coreProperties>
</file>

<file path=docProps/custom.xml><?xml version="1.0" encoding="utf-8"?>
<Properties xmlns="http://schemas.openxmlformats.org/officeDocument/2006/custom-properties" xmlns:vt="http://schemas.openxmlformats.org/officeDocument/2006/docPropsVTypes"/>
</file>