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0" w:line="340"/>
      </w:pPr>
      <w:r>
        <w:rPr>
          <w:rFonts w:ascii="Microsoft YaHei UI" w:cs="Microsoft YaHei UI" w:eastAsia="Microsoft YaHei UI" w:hAnsi="Microsoft YaHei UI"/>
          <w:b/>
          <w:bCs/>
          <w:color w:val="147D73"/>
          <w:sz w:val="20"/>
          <w:szCs w:val="20"/>
        </w:rPr>
        <w:t xml:space="preserve">MONTHLY PRODUCT INTELLIGENCE</w:t>
      </w:r>
    </w:p>
    <w:p>
      <w:pPr>
        <w:spacing w:after="120" w:before="0" w:line="340"/>
      </w:pPr>
      <w:r>
        <w:rPr>
          <w:rFonts w:ascii="Microsoft YaHei UI" w:cs="Microsoft YaHei UI" w:eastAsia="Microsoft YaHei UI" w:hAnsi="Microsoft YaHei UI"/>
          <w:b/>
          <w:bCs/>
          <w:color w:val="0B5C55"/>
          <w:sz w:val="40"/>
          <w:szCs w:val="40"/>
        </w:rPr>
        <w:t xml:space="preserve">怡诺思｜2026年8月关注报告</w:t>
      </w:r>
    </w:p>
    <w:p>
      <w:pPr>
        <w:spacing w:after="360" w:before="0" w:line="340"/>
      </w:pPr>
      <w:r>
        <w:rPr>
          <w:rFonts w:ascii="Microsoft YaHei UI" w:cs="Microsoft YaHei UI" w:eastAsia="Microsoft YaHei UI" w:hAnsi="Microsoft YaHei UI"/>
          <w:color w:val="5F706E"/>
          <w:sz w:val="22"/>
          <w:szCs w:val="22"/>
        </w:rPr>
        <w:t xml:space="preserve">2026-08-01 至 2026-08-31</w:t>
      </w:r>
    </w:p>
    <w:tbl>
      <w:tblPr>
        <w:tblW w:type="dxa" w:w="10000"/>
        <w:tblBorders>
          <w:top w:val="none"/>
          <w:left w:val="none"/>
          <w:bottom w:val="none"/>
          <w:right w:val="none"/>
          <w:insideH w:val="none"/>
          <w:insideV w:val="single" w:color="FFFFFF" w:sz="8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EAF5F2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340"/>
              <w:jc w:val="center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0B5C55"/>
                <w:sz w:val="34"/>
                <w:szCs w:val="34"/>
              </w:rPr>
              <w:t xml:space="preserve">137</w:t>
            </w:r>
          </w:p>
          <w:p>
            <w:pPr>
              <w:spacing w:after="0" w:before="0" w:line="340"/>
              <w:jc w:val="center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19"/>
                <w:szCs w:val="19"/>
              </w:rPr>
              <w:t xml:space="preserve">有效进展</w:t>
            </w:r>
          </w:p>
        </w:tc>
        <w:tc>
          <w:tcPr>
            <w:tcW w:type="dxa" w:w="2000"/>
            <w:shd w:fill="EAF5F2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340"/>
              <w:jc w:val="center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0B5C55"/>
                <w:sz w:val="34"/>
                <w:szCs w:val="34"/>
              </w:rPr>
              <w:t xml:space="preserve">68</w:t>
            </w:r>
          </w:p>
          <w:p>
            <w:pPr>
              <w:spacing w:after="0" w:before="0" w:line="340"/>
              <w:jc w:val="center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19"/>
                <w:szCs w:val="19"/>
              </w:rPr>
              <w:t xml:space="preserve">建议跟进</w:t>
            </w:r>
          </w:p>
        </w:tc>
        <w:tc>
          <w:tcPr>
            <w:tcW w:type="dxa" w:w="2000"/>
            <w:shd w:fill="EAF5F2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340"/>
              <w:jc w:val="center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0B5C55"/>
                <w:sz w:val="34"/>
                <w:szCs w:val="34"/>
              </w:rPr>
              <w:t xml:space="preserve">26</w:t>
            </w:r>
          </w:p>
          <w:p>
            <w:pPr>
              <w:spacing w:after="0" w:before="0" w:line="340"/>
              <w:jc w:val="center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19"/>
                <w:szCs w:val="19"/>
              </w:rPr>
              <w:t xml:space="preserve">高证据</w:t>
            </w:r>
          </w:p>
        </w:tc>
        <w:tc>
          <w:tcPr>
            <w:tcW w:type="dxa" w:w="2000"/>
            <w:shd w:fill="EAF5F2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340"/>
              <w:jc w:val="center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0B5C55"/>
                <w:sz w:val="34"/>
                <w:szCs w:val="34"/>
              </w:rPr>
              <w:t xml:space="preserve">0</w:t>
            </w:r>
          </w:p>
          <w:p>
            <w:pPr>
              <w:spacing w:after="0" w:before="0" w:line="340"/>
              <w:jc w:val="center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19"/>
                <w:szCs w:val="19"/>
              </w:rPr>
              <w:t xml:space="preserve">KOL记录</w:t>
            </w:r>
          </w:p>
        </w:tc>
        <w:tc>
          <w:tcPr>
            <w:tcW w:type="dxa" w:w="2000"/>
            <w:shd w:fill="EAF5F2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340"/>
              <w:jc w:val="center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0B5C55"/>
                <w:sz w:val="34"/>
                <w:szCs w:val="34"/>
              </w:rPr>
              <w:t xml:space="preserve">0</w:t>
            </w:r>
          </w:p>
          <w:p>
            <w:pPr>
              <w:spacing w:after="0" w:before="0" w:line="340"/>
              <w:jc w:val="center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19"/>
                <w:szCs w:val="19"/>
              </w:rPr>
              <w:t xml:space="preserve">涉及专家</w:t>
            </w:r>
          </w:p>
        </w:tc>
      </w:tr>
    </w:tbl>
    <w:p>
      <w:pPr>
        <w:pStyle w:val="Heading1"/>
        <w:keepNext/>
        <w:spacing w:after="160" w:before="300" w:line="340"/>
      </w:pPr>
      <w:r>
        <w:rPr>
          <w:rFonts w:ascii="Microsoft YaHei UI" w:cs="Microsoft YaHei UI" w:eastAsia="Microsoft YaHei UI" w:hAnsi="Microsoft YaHei UI"/>
          <w:color w:val="152625"/>
          <w:sz w:val="22"/>
          <w:szCs w:val="22"/>
        </w:rPr>
        <w:t xml:space="preserve">管理层摘要</w:t>
      </w:r>
    </w:p>
    <w:tbl>
      <w:tblPr>
        <w:tblW w:type="dxa" w:w="10000"/>
        <w:tblBorders>
          <w:top w:val="single" w:color="D6E2DF" w:sz="1"/>
          <w:left w:val="single" w:color="D6E2DF" w:sz="1"/>
          <w:bottom w:val="single" w:color="D6E2DF" w:sz="1"/>
          <w:right w:val="single" w:color="D6E2DF" w:sz="1"/>
          <w:insideH w:val="single" w:color="D6E2DF" w:sz="1"/>
          <w:insideV w:val="single" w:color="D6E2DF" w:sz="1"/>
        </w:tblBorders>
      </w:tblPr>
      <w:tblGrid>
        <w:gridCol w:w="1750"/>
        <w:gridCol w:w="8250"/>
      </w:tblGrid>
      <w:tr>
        <w:tc>
          <w:tcPr>
            <w:tcW w:type="dxa" w:w="1750"/>
            <w:shd w:fill="DDF1EC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0B5C55"/>
                <w:sz w:val="22"/>
                <w:szCs w:val="22"/>
              </w:rPr>
              <w:t xml:space="preserve">一句话结论</w:t>
            </w:r>
          </w:p>
        </w:tc>
        <w:tc>
          <w:tcPr>
            <w:tcW w:type="dxa" w:w="8250"/>
            <w:shd w:fill="F2FAF8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370"/>
            </w:pPr>
            <w:r>
              <w:rPr>
                <w:rFonts w:ascii="Microsoft YaHei UI" w:cs="Microsoft YaHei UI" w:eastAsia="Microsoft YaHei UI" w:hAnsi="Microsoft YaHei UI"/>
                <w:color w:val="152625"/>
                <w:sz w:val="23"/>
                <w:szCs w:val="23"/>
              </w:rPr>
              <w:t xml:space="preserve">2026年8月怡诺思最值得注意的是：SNRI 赛道一边承受 SSRI 和安非他酮等成熟方案竞争，一边面对快速起效与致幻剂新机制。</w:t>
            </w:r>
          </w:p>
        </w:tc>
      </w:tr>
      <w:tr>
        <w:tc>
          <w:tcPr>
            <w:tcW w:type="dxa" w:w="1750"/>
            <w:shd w:fill="F5F8F7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0B5C55"/>
                <w:sz w:val="22"/>
                <w:szCs w:val="22"/>
              </w:rPr>
              <w:t xml:space="preserve">发生了什么</w:t>
            </w:r>
          </w:p>
        </w:tc>
        <w:tc>
          <w:tcPr>
            <w:tcW w:type="dxa" w:w="8250"/>
            <w:shd w:fill="FFFFFF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370"/>
            </w:pPr>
            <w:r>
              <w:rPr>
                <w:rFonts w:ascii="Microsoft YaHei UI" w:cs="Microsoft YaHei UI" w:eastAsia="Microsoft YaHei UI" w:hAnsi="Microsoft YaHei UI"/>
                <w:color w:val="152625"/>
                <w:sz w:val="23"/>
                <w:szCs w:val="23"/>
              </w:rPr>
              <w:t xml:space="preserve">本月纳入 137 条有效产品/竞品进展，其中 68 条建议跟进、26 条为高证据。优先记录包括《右美托咪定-艾氯胺酮联合治疗腹腔镜输尿管重建术后抑郁和焦虑》、《比较艾氯胺酮、雷马唑仑与异丙酚在小儿胃镜检查中的呼吸安全》。</w:t>
            </w:r>
          </w:p>
        </w:tc>
      </w:tr>
      <w:tr>
        <w:tc>
          <w:tcPr>
            <w:tcW w:type="dxa" w:w="1750"/>
            <w:shd w:fill="F5F8F7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0B5C55"/>
                <w:sz w:val="22"/>
                <w:szCs w:val="22"/>
              </w:rPr>
              <w:t xml:space="preserve">关注什么</w:t>
            </w:r>
          </w:p>
        </w:tc>
        <w:tc>
          <w:tcPr>
            <w:tcW w:type="dxa" w:w="8250"/>
            <w:shd w:fill="FFFFFF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370"/>
            </w:pPr>
            <w:r>
              <w:rPr>
                <w:rFonts w:ascii="Microsoft YaHei UI" w:cs="Microsoft YaHei UI" w:eastAsia="Microsoft YaHei UI" w:hAnsi="Microsoft YaHei UI"/>
                <w:color w:val="152625"/>
                <w:sz w:val="23"/>
                <w:szCs w:val="23"/>
              </w:rPr>
              <w:t xml:space="preserve">优先查看潜在/新机制；Spravato、潜在/新机制；COMP360 等、机制竞品；Wellbutrin、直接竞品；Cymbalta，并把同一研究在不同检索路径下的重复命中合并判断。</w:t>
            </w:r>
          </w:p>
        </w:tc>
      </w:tr>
      <w:tr>
        <w:tc>
          <w:tcPr>
            <w:tcW w:type="dxa" w:w="1750"/>
            <w:shd w:fill="F5F8F7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0B5C55"/>
                <w:sz w:val="22"/>
                <w:szCs w:val="22"/>
              </w:rPr>
              <w:t xml:space="preserve">为什么关注</w:t>
            </w:r>
          </w:p>
        </w:tc>
        <w:tc>
          <w:tcPr>
            <w:tcW w:type="dxa" w:w="8250"/>
            <w:shd w:fill="FFFFFF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370"/>
            </w:pPr>
            <w:r>
              <w:rPr>
                <w:rFonts w:ascii="Microsoft YaHei UI" w:cs="Microsoft YaHei UI" w:eastAsia="Microsoft YaHei UI" w:hAnsi="Microsoft YaHei UI"/>
                <w:color w:val="152625"/>
                <w:sz w:val="23"/>
                <w:szCs w:val="23"/>
              </w:rPr>
              <w:t xml:space="preserve">难治性抑郁和快速起效治疗的推进，会改变怡诺思的治疗序列、换药逻辑和疗效预期沟通。</w:t>
            </w:r>
          </w:p>
        </w:tc>
      </w:tr>
      <w:tr>
        <w:tc>
          <w:tcPr>
            <w:tcW w:type="dxa" w:w="1750"/>
            <w:shd w:fill="F5F8F7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0B5C55"/>
                <w:sz w:val="22"/>
                <w:szCs w:val="22"/>
              </w:rPr>
              <w:t xml:space="preserve">建议动作</w:t>
            </w:r>
          </w:p>
        </w:tc>
        <w:tc>
          <w:tcPr>
            <w:tcW w:type="dxa" w:w="8250"/>
            <w:shd w:fill="FFFFFF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370"/>
            </w:pPr>
            <w:r>
              <w:rPr>
                <w:rFonts w:ascii="Microsoft YaHei UI" w:cs="Microsoft YaHei UI" w:eastAsia="Microsoft YaHei UI" w:hAnsi="Microsoft YaHei UI"/>
                <w:color w:val="152625"/>
                <w:sz w:val="23"/>
                <w:szCs w:val="23"/>
              </w:rPr>
              <w:t xml:space="preserve">跟踪难治性抑郁研究的缓解和复发终点；比较 SNRI、安非他酮和快速起效方案的患者选择；更新停药、耐受性和长期治疗沟通。</w:t>
            </w:r>
          </w:p>
        </w:tc>
      </w:tr>
    </w:tbl>
    <w:p>
      <w:pPr>
        <w:pStyle w:val="Heading1"/>
        <w:keepNext/>
        <w:spacing w:after="160" w:before="300" w:line="340"/>
      </w:pPr>
      <w:r>
        <w:rPr>
          <w:rFonts w:ascii="Microsoft YaHei UI" w:cs="Microsoft YaHei UI" w:eastAsia="Microsoft YaHei UI" w:hAnsi="Microsoft YaHei UI"/>
          <w:color w:val="152625"/>
          <w:sz w:val="22"/>
          <w:szCs w:val="22"/>
        </w:rPr>
        <w:t xml:space="preserve">本月重点更新</w:t>
      </w:r>
    </w:p>
    <w:tbl>
      <w:tblPr>
        <w:tblW w:type="dxa" w:w="10000"/>
        <w:tblBorders>
          <w:top w:val="single" w:color="D6E2DF" w:sz="1"/>
          <w:left w:val="single" w:color="D6E2DF" w:sz="1"/>
          <w:bottom w:val="single" w:color="D6E2DF" w:sz="1"/>
          <w:right w:val="single" w:color="D6E2DF" w:sz="1"/>
          <w:insideH w:val="single" w:color="D6E2DF" w:sz="1"/>
          <w:insideV w:val="single" w:color="D6E2DF" w:sz="1"/>
        </w:tblBorders>
      </w:tblPr>
      <w:tblGrid>
        <w:gridCol w:w="1450"/>
        <w:gridCol w:w="5400"/>
        <w:gridCol w:w="3150"/>
      </w:tblGrid>
      <w:tr>
        <w:trPr>
          <w:tblHeader/>
        </w:trPr>
        <w:tc>
          <w:tcPr>
            <w:tcW w:type="dxa" w:w="1450"/>
            <w:shd w:fill="0B5C55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FFFFFF"/>
                <w:sz w:val="22"/>
                <w:szCs w:val="22"/>
              </w:rPr>
              <w:t xml:space="preserve">日期 / 来源</w:t>
            </w:r>
          </w:p>
        </w:tc>
        <w:tc>
          <w:tcPr>
            <w:tcW w:type="dxa" w:w="5400"/>
            <w:shd w:fill="0B5C55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FFFFFF"/>
                <w:sz w:val="22"/>
                <w:szCs w:val="22"/>
              </w:rPr>
              <w:t xml:space="preserve">研究或事件</w:t>
            </w:r>
          </w:p>
        </w:tc>
        <w:tc>
          <w:tcPr>
            <w:tcW w:type="dxa" w:w="3150"/>
            <w:shd w:fill="0B5C55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FFFFFF"/>
                <w:sz w:val="22"/>
                <w:szCs w:val="22"/>
              </w:rPr>
              <w:t xml:space="preserve">判断与动作</w:t>
            </w:r>
          </w:p>
        </w:tc>
      </w:tr>
      <w:tr>
        <w:trPr>
          <w:cantSplit/>
        </w:trPr>
        <w:tc>
          <w:tcPr>
            <w:tcW w:type="dxa" w:w="1450"/>
            <w:shd w:fill="FFFFFF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152625"/>
                <w:sz w:val="22"/>
                <w:szCs w:val="22"/>
              </w:rPr>
              <w:t xml:space="preserve">2026-08-10</w:t>
            </w:r>
          </w:p>
          <w:p>
            <w:pPr>
              <w:spacing w:after="60" w:before="0" w:line="340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22"/>
                <w:szCs w:val="22"/>
              </w:rPr>
              <w:t xml:space="preserve">Clinical</w:t>
            </w:r>
          </w:p>
          <w:p>
            <w:pPr>
              <w:spacing w:after="0" w:before="0" w:line="340"/>
            </w:pPr>
            <w:r>
              <w:rPr>
                <w:rFonts w:ascii="Microsoft YaHei UI" w:cs="Microsoft YaHei UI" w:eastAsia="Microsoft YaHei UI" w:hAnsi="Microsoft YaHei UI"/>
                <w:color w:val="0B5C55"/>
                <w:sz w:val="18"/>
                <w:szCs w:val="18"/>
              </w:rPr>
              <w:t xml:space="preserve">高证据 / 建议跟进</w:t>
            </w:r>
          </w:p>
        </w:tc>
        <w:tc>
          <w:tcPr>
            <w:tcW w:type="dxa" w:w="5400"/>
            <w:shd w:fill="FFFFFF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8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152625"/>
                <w:sz w:val="22"/>
                <w:szCs w:val="22"/>
              </w:rPr>
              <w:t xml:space="preserve">右美托咪定-艾氯胺酮联合治疗腹腔镜输尿管重建术后抑郁和焦虑</w:t>
            </w:r>
          </w:p>
          <w:p>
            <w:pPr>
              <w:spacing w:after="0" w:before="0" w:line="320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20"/>
                <w:szCs w:val="20"/>
              </w:rPr>
              <w:t xml:space="preserve">ClinicalTrials.gov 研究：右美托咪定-艾氯胺酮联合治疗腹腔镜输尿管重建术后抑郁和焦虑；NCT：NCT07753772；状态：尚未招募；阶段：4期；适应症/疾病：输尿管狭窄；右美托咪定；艾氯胺酮；抑郁症状；焦虑；首次发布：2026-08-10；最近更新：2026-08-14。</w:t>
            </w:r>
          </w:p>
          <w:p>
            <w:pPr>
              <w:spacing w:after="0" w:before="80"/>
            </w:pPr>
            <w:hyperlink w:history="1" r:id="rIdzurx-qewktiwdlcrnfvoh">
              <w:r>
                <w:rPr>
                  <w:rFonts w:ascii="Microsoft YaHei UI" w:cs="Microsoft YaHei UI" w:eastAsia="Microsoft YaHei UI" w:hAnsi="Microsoft YaHei UI"/>
                  <w:color w:val="1B6CA8"/>
                  <w:sz w:val="18"/>
                  <w:szCs w:val="18"/>
                  <w:u w:val="single"/>
                </w:rPr>
                <w:t xml:space="preserve">打开原始来源</w:t>
              </w:r>
            </w:hyperlink>
          </w:p>
        </w:tc>
        <w:tc>
          <w:tcPr>
            <w:tcW w:type="dxa" w:w="3150"/>
            <w:shd w:fill="FFFFFF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8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0B5C55"/>
                <w:sz w:val="22"/>
                <w:szCs w:val="22"/>
              </w:rPr>
              <w:t xml:space="preserve">潜在/新机制；Spravato</w:t>
            </w:r>
          </w:p>
          <w:p>
            <w:pPr>
              <w:spacing w:after="0" w:before="0" w:line="320"/>
            </w:pPr>
            <w:r>
              <w:rPr>
                <w:rFonts w:ascii="Microsoft YaHei UI" w:cs="Microsoft YaHei UI" w:eastAsia="Microsoft YaHei UI" w:hAnsi="Microsoft YaHei UI"/>
                <w:color w:val="152625"/>
                <w:sz w:val="20"/>
                <w:szCs w:val="20"/>
              </w:rPr>
              <w:t xml:space="preserve">治疗抵抗性抑郁快速起效；建议查看研究设计、入排标准和终点，判断对怡诺思或同机制竞品监测的影响。</w:t>
            </w:r>
          </w:p>
        </w:tc>
      </w:tr>
      <w:tr>
        <w:trPr>
          <w:cantSplit/>
        </w:trPr>
        <w:tc>
          <w:tcPr>
            <w:tcW w:type="dxa" w:w="1450"/>
            <w:shd w:fill="F5F8F7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152625"/>
                <w:sz w:val="22"/>
                <w:szCs w:val="22"/>
              </w:rPr>
              <w:t xml:space="preserve">2026-08-06</w:t>
            </w:r>
          </w:p>
          <w:p>
            <w:pPr>
              <w:spacing w:after="60" w:before="0" w:line="340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22"/>
                <w:szCs w:val="22"/>
              </w:rPr>
              <w:t xml:space="preserve">Clinical</w:t>
            </w:r>
          </w:p>
          <w:p>
            <w:pPr>
              <w:spacing w:after="0" w:before="0" w:line="340"/>
            </w:pPr>
            <w:r>
              <w:rPr>
                <w:rFonts w:ascii="Microsoft YaHei UI" w:cs="Microsoft YaHei UI" w:eastAsia="Microsoft YaHei UI" w:hAnsi="Microsoft YaHei UI"/>
                <w:color w:val="0B5C55"/>
                <w:sz w:val="18"/>
                <w:szCs w:val="18"/>
              </w:rPr>
              <w:t xml:space="preserve">高证据 / 建议跟进</w:t>
            </w:r>
          </w:p>
        </w:tc>
        <w:tc>
          <w:tcPr>
            <w:tcW w:type="dxa" w:w="5400"/>
            <w:shd w:fill="F5F8F7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8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152625"/>
                <w:sz w:val="22"/>
                <w:szCs w:val="22"/>
              </w:rPr>
              <w:t xml:space="preserve">比较艾氯胺酮、雷马唑仑与异丙酚在小儿胃镜检查中的呼吸安全</w:t>
            </w:r>
          </w:p>
          <w:p>
            <w:pPr>
              <w:spacing w:after="0" w:before="0" w:line="320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20"/>
                <w:szCs w:val="20"/>
              </w:rPr>
              <w:t xml:space="preserve">ClinicalTrials.gov 研究：比较艾氯胺酮、雷马唑仑与异丙酚在小儿胃镜检查中的呼吸安全；NCT：NCT07748884；状态：尚未招募；阶段：4期；适应症/疾病：呼吸系统不良事件；低氧血症；儿童；胃镜检查；艾氯胺酮；瑞马唑仑；首次发布：2026-08-06；最近更新：2026-08-06。</w:t>
            </w:r>
          </w:p>
          <w:p>
            <w:pPr>
              <w:spacing w:after="0" w:before="80"/>
            </w:pPr>
            <w:hyperlink w:history="1" r:id="rIdfqdc1zrujnkvisnpkqlbn">
              <w:r>
                <w:rPr>
                  <w:rFonts w:ascii="Microsoft YaHei UI" w:cs="Microsoft YaHei UI" w:eastAsia="Microsoft YaHei UI" w:hAnsi="Microsoft YaHei UI"/>
                  <w:color w:val="1B6CA8"/>
                  <w:sz w:val="18"/>
                  <w:szCs w:val="18"/>
                  <w:u w:val="single"/>
                </w:rPr>
                <w:t xml:space="preserve">打开原始来源</w:t>
              </w:r>
            </w:hyperlink>
          </w:p>
        </w:tc>
        <w:tc>
          <w:tcPr>
            <w:tcW w:type="dxa" w:w="3150"/>
            <w:shd w:fill="F5F8F7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8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0B5C55"/>
                <w:sz w:val="22"/>
                <w:szCs w:val="22"/>
              </w:rPr>
              <w:t xml:space="preserve">潜在/新机制；Spravato</w:t>
            </w:r>
          </w:p>
          <w:p>
            <w:pPr>
              <w:spacing w:after="0" w:before="0" w:line="320"/>
            </w:pPr>
            <w:r>
              <w:rPr>
                <w:rFonts w:ascii="Microsoft YaHei UI" w:cs="Microsoft YaHei UI" w:eastAsia="Microsoft YaHei UI" w:hAnsi="Microsoft YaHei UI"/>
                <w:color w:val="152625"/>
                <w:sz w:val="20"/>
                <w:szCs w:val="20"/>
              </w:rPr>
              <w:t xml:space="preserve">治疗抵抗性抑郁快速起效；建议查看研究设计、入排标准和终点，判断对怡诺思或同机制竞品监测的影响。</w:t>
            </w:r>
          </w:p>
        </w:tc>
      </w:tr>
      <w:tr>
        <w:trPr>
          <w:cantSplit/>
        </w:trPr>
        <w:tc>
          <w:tcPr>
            <w:tcW w:type="dxa" w:w="1450"/>
            <w:shd w:fill="FFFFFF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152625"/>
                <w:sz w:val="22"/>
                <w:szCs w:val="22"/>
              </w:rPr>
              <w:t xml:space="preserve">2026-08-03</w:t>
            </w:r>
          </w:p>
          <w:p>
            <w:pPr>
              <w:spacing w:after="60" w:before="0" w:line="340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22"/>
                <w:szCs w:val="22"/>
              </w:rPr>
              <w:t xml:space="preserve">Clinical</w:t>
            </w:r>
          </w:p>
          <w:p>
            <w:pPr>
              <w:spacing w:after="0" w:before="0" w:line="340"/>
            </w:pPr>
            <w:r>
              <w:rPr>
                <w:rFonts w:ascii="Microsoft YaHei UI" w:cs="Microsoft YaHei UI" w:eastAsia="Microsoft YaHei UI" w:hAnsi="Microsoft YaHei UI"/>
                <w:color w:val="0B5C55"/>
                <w:sz w:val="18"/>
                <w:szCs w:val="18"/>
              </w:rPr>
              <w:t xml:space="preserve">高证据 / 建议跟进</w:t>
            </w:r>
          </w:p>
        </w:tc>
        <w:tc>
          <w:tcPr>
            <w:tcW w:type="dxa" w:w="5400"/>
            <w:shd w:fill="FFFFFF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8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152625"/>
                <w:sz w:val="22"/>
                <w:szCs w:val="22"/>
              </w:rPr>
              <w:t xml:space="preserve">比较 KH607 片与氢溴酸沃替西汀片对成年重度抑郁症患者的疗效和安全性</w:t>
            </w:r>
          </w:p>
          <w:p>
            <w:pPr>
              <w:spacing w:after="0" w:before="0" w:line="320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20"/>
                <w:szCs w:val="20"/>
              </w:rPr>
              <w:t xml:space="preserve">ClinicalTrials.gov 研究：比较 KH607 片与氢溴酸沃替西汀片对成年重度抑郁症患者的疗效和安全性；NCT：NCT07741331；状态：尚未招募；阶段：3期；适应症/疾病：重度抑郁症 (MDD)；首次发布：2026-08-03；最近更新：2026-08-03。</w:t>
            </w:r>
          </w:p>
          <w:p>
            <w:pPr>
              <w:spacing w:after="0" w:before="80"/>
            </w:pPr>
            <w:hyperlink w:history="1" r:id="rIdzt4bkthrppky0nylc0x1a">
              <w:r>
                <w:rPr>
                  <w:rFonts w:ascii="Microsoft YaHei UI" w:cs="Microsoft YaHei UI" w:eastAsia="Microsoft YaHei UI" w:hAnsi="Microsoft YaHei UI"/>
                  <w:color w:val="1B6CA8"/>
                  <w:sz w:val="18"/>
                  <w:szCs w:val="18"/>
                  <w:u w:val="single"/>
                </w:rPr>
                <w:t xml:space="preserve">打开原始来源</w:t>
              </w:r>
            </w:hyperlink>
          </w:p>
        </w:tc>
        <w:tc>
          <w:tcPr>
            <w:tcW w:type="dxa" w:w="3150"/>
            <w:shd w:fill="FFFFFF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8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0B5C55"/>
                <w:sz w:val="22"/>
                <w:szCs w:val="22"/>
              </w:rPr>
              <w:t xml:space="preserve">机制竞品；心达悦/Trintellix</w:t>
            </w:r>
          </w:p>
          <w:p>
            <w:pPr>
              <w:spacing w:after="0" w:before="0" w:line="320"/>
            </w:pPr>
            <w:r>
              <w:rPr>
                <w:rFonts w:ascii="Microsoft YaHei UI" w:cs="Microsoft YaHei UI" w:eastAsia="Microsoft YaHei UI" w:hAnsi="Microsoft YaHei UI"/>
                <w:color w:val="152625"/>
                <w:sz w:val="20"/>
                <w:szCs w:val="20"/>
              </w:rPr>
              <w:t xml:space="preserve">认知/多模式差异化；建议查看研究设计、入排标准和终点，判断对怡诺思或同机制竞品监测的影响。</w:t>
            </w:r>
          </w:p>
        </w:tc>
      </w:tr>
      <w:tr>
        <w:trPr>
          <w:cantSplit/>
        </w:trPr>
        <w:tc>
          <w:tcPr>
            <w:tcW w:type="dxa" w:w="1450"/>
            <w:shd w:fill="F5F8F7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152625"/>
                <w:sz w:val="22"/>
                <w:szCs w:val="22"/>
              </w:rPr>
              <w:t xml:space="preserve">2026-08-12</w:t>
            </w:r>
          </w:p>
          <w:p>
            <w:pPr>
              <w:spacing w:after="60" w:before="0" w:line="340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22"/>
                <w:szCs w:val="22"/>
              </w:rPr>
              <w:t xml:space="preserve">Clinical</w:t>
            </w:r>
          </w:p>
          <w:p>
            <w:pPr>
              <w:spacing w:after="0" w:before="0" w:line="340"/>
            </w:pPr>
            <w:r>
              <w:rPr>
                <w:rFonts w:ascii="Microsoft YaHei UI" w:cs="Microsoft YaHei UI" w:eastAsia="Microsoft YaHei UI" w:hAnsi="Microsoft YaHei UI"/>
                <w:color w:val="0B5C55"/>
                <w:sz w:val="18"/>
                <w:szCs w:val="18"/>
              </w:rPr>
              <w:t xml:space="preserve">高证据 / 建议跟进</w:t>
            </w:r>
          </w:p>
        </w:tc>
        <w:tc>
          <w:tcPr>
            <w:tcW w:type="dxa" w:w="5400"/>
            <w:shd w:fill="F5F8F7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8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152625"/>
                <w:sz w:val="22"/>
                <w:szCs w:val="22"/>
              </w:rPr>
              <w:t xml:space="preserve">通过中枢神经系统参与进行个性化镇痛，以释放表现</w:t>
            </w:r>
          </w:p>
          <w:p>
            <w:pPr>
              <w:spacing w:after="0" w:before="0" w:line="320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20"/>
                <w:szCs w:val="20"/>
              </w:rPr>
              <w:t xml:space="preserve">ClinicalTrials.gov 研究：通过中枢神经系统参与进行个性化镇痛，以释放表现；NCT：NCT07759336；状态：尚未招募；阶段：4期；适应症/疾病：膝骨关节炎（膝关节OA）；慢性疼痛；慢性膝关节疼痛；首次发布：2026-08-12；最近更新：2026-08-12。</w:t>
            </w:r>
          </w:p>
          <w:p>
            <w:pPr>
              <w:spacing w:after="0" w:before="80"/>
            </w:pPr>
            <w:hyperlink w:history="1" r:id="rIdh4e-oh33sqbtu29hvo5aj">
              <w:r>
                <w:rPr>
                  <w:rFonts w:ascii="Microsoft YaHei UI" w:cs="Microsoft YaHei UI" w:eastAsia="Microsoft YaHei UI" w:hAnsi="Microsoft YaHei UI"/>
                  <w:color w:val="1B6CA8"/>
                  <w:sz w:val="18"/>
                  <w:szCs w:val="18"/>
                  <w:u w:val="single"/>
                </w:rPr>
                <w:t xml:space="preserve">打开原始来源</w:t>
              </w:r>
            </w:hyperlink>
          </w:p>
        </w:tc>
        <w:tc>
          <w:tcPr>
            <w:tcW w:type="dxa" w:w="3150"/>
            <w:shd w:fill="F5F8F7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8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0B5C55"/>
                <w:sz w:val="22"/>
                <w:szCs w:val="22"/>
              </w:rPr>
              <w:t xml:space="preserve">直接竞品；Cymbalta</w:t>
            </w:r>
          </w:p>
          <w:p>
            <w:pPr>
              <w:spacing w:after="0" w:before="0" w:line="320"/>
            </w:pPr>
            <w:r>
              <w:rPr>
                <w:rFonts w:ascii="Microsoft YaHei UI" w:cs="Microsoft YaHei UI" w:eastAsia="Microsoft YaHei UI" w:hAnsi="Microsoft YaHei UI"/>
                <w:color w:val="152625"/>
                <w:sz w:val="20"/>
                <w:szCs w:val="20"/>
              </w:rPr>
              <w:t xml:space="preserve">SNRI 同类替代；建议查看研究设计、入排标准和终点，判断对怡诺思或同机制竞品监测的影响。</w:t>
            </w:r>
          </w:p>
        </w:tc>
      </w:tr>
      <w:tr>
        <w:trPr>
          <w:cantSplit/>
        </w:trPr>
        <w:tc>
          <w:tcPr>
            <w:tcW w:type="dxa" w:w="1450"/>
            <w:shd w:fill="FFFFFF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152625"/>
                <w:sz w:val="22"/>
                <w:szCs w:val="22"/>
              </w:rPr>
              <w:t xml:space="preserve">2026-08-28</w:t>
            </w:r>
          </w:p>
          <w:p>
            <w:pPr>
              <w:spacing w:after="60" w:before="0" w:line="340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22"/>
                <w:szCs w:val="22"/>
              </w:rPr>
              <w:t xml:space="preserve">Clinical</w:t>
            </w:r>
          </w:p>
          <w:p>
            <w:pPr>
              <w:spacing w:after="0" w:before="0" w:line="340"/>
            </w:pPr>
            <w:r>
              <w:rPr>
                <w:rFonts w:ascii="Microsoft YaHei UI" w:cs="Microsoft YaHei UI" w:eastAsia="Microsoft YaHei UI" w:hAnsi="Microsoft YaHei UI"/>
                <w:color w:val="0B5C55"/>
                <w:sz w:val="18"/>
                <w:szCs w:val="18"/>
              </w:rPr>
              <w:t xml:space="preserve">高证据 / 建议跟进</w:t>
            </w:r>
          </w:p>
        </w:tc>
        <w:tc>
          <w:tcPr>
            <w:tcW w:type="dxa" w:w="5400"/>
            <w:shd w:fill="FFFFFF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8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152625"/>
                <w:sz w:val="22"/>
                <w:szCs w:val="22"/>
              </w:rPr>
              <w:t xml:space="preserve">评估艾氯胺酮减轻重度抑郁症症状的功效和安全性的研究</w:t>
            </w:r>
          </w:p>
          <w:p>
            <w:pPr>
              <w:spacing w:after="0" w:before="0" w:line="320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20"/>
                <w:szCs w:val="20"/>
              </w:rPr>
              <w:t xml:space="preserve">ClinicalTrials.gov 研究：评估艾氯胺酮减轻重度抑郁症症状的功效和安全性的研究；NCT：NCT07227454；状态：招募中；阶段：3期；适应症/疾病：抑郁症，严重；首次发布：2025-11-12；最近更新：2026-08-28。</w:t>
            </w:r>
          </w:p>
          <w:p>
            <w:pPr>
              <w:spacing w:after="0" w:before="80"/>
            </w:pPr>
            <w:hyperlink w:history="1" r:id="rId7td_ee5agdum146p_2clm">
              <w:r>
                <w:rPr>
                  <w:rFonts w:ascii="Microsoft YaHei UI" w:cs="Microsoft YaHei UI" w:eastAsia="Microsoft YaHei UI" w:hAnsi="Microsoft YaHei UI"/>
                  <w:color w:val="1B6CA8"/>
                  <w:sz w:val="18"/>
                  <w:szCs w:val="18"/>
                  <w:u w:val="single"/>
                </w:rPr>
                <w:t xml:space="preserve">打开原始来源</w:t>
              </w:r>
            </w:hyperlink>
          </w:p>
        </w:tc>
        <w:tc>
          <w:tcPr>
            <w:tcW w:type="dxa" w:w="3150"/>
            <w:shd w:fill="FFFFFF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8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0B5C55"/>
                <w:sz w:val="22"/>
                <w:szCs w:val="22"/>
              </w:rPr>
              <w:t xml:space="preserve">潜在/新机制；Spravato</w:t>
            </w:r>
          </w:p>
          <w:p>
            <w:pPr>
              <w:spacing w:after="0" w:before="0" w:line="320"/>
            </w:pPr>
            <w:r>
              <w:rPr>
                <w:rFonts w:ascii="Microsoft YaHei UI" w:cs="Microsoft YaHei UI" w:eastAsia="Microsoft YaHei UI" w:hAnsi="Microsoft YaHei UI"/>
                <w:color w:val="152625"/>
                <w:sz w:val="20"/>
                <w:szCs w:val="20"/>
              </w:rPr>
              <w:t xml:space="preserve">治疗抵抗性抑郁快速起效；建议查看研究设计、入排标准和终点，判断对怡诺思或同机制竞品监测的影响。</w:t>
            </w:r>
          </w:p>
        </w:tc>
      </w:tr>
      <w:tr>
        <w:trPr>
          <w:cantSplit/>
        </w:trPr>
        <w:tc>
          <w:tcPr>
            <w:tcW w:type="dxa" w:w="1450"/>
            <w:shd w:fill="F5F8F7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152625"/>
                <w:sz w:val="22"/>
                <w:szCs w:val="22"/>
              </w:rPr>
              <w:t xml:space="preserve">2026-08-25</w:t>
            </w:r>
          </w:p>
          <w:p>
            <w:pPr>
              <w:spacing w:after="60" w:before="0" w:line="340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22"/>
                <w:szCs w:val="22"/>
              </w:rPr>
              <w:t xml:space="preserve">Clinical</w:t>
            </w:r>
          </w:p>
          <w:p>
            <w:pPr>
              <w:spacing w:after="0" w:before="0" w:line="340"/>
            </w:pPr>
            <w:r>
              <w:rPr>
                <w:rFonts w:ascii="Microsoft YaHei UI" w:cs="Microsoft YaHei UI" w:eastAsia="Microsoft YaHei UI" w:hAnsi="Microsoft YaHei UI"/>
                <w:color w:val="0B5C55"/>
                <w:sz w:val="18"/>
                <w:szCs w:val="18"/>
              </w:rPr>
              <w:t xml:space="preserve">高证据 / 建议跟进</w:t>
            </w:r>
          </w:p>
        </w:tc>
        <w:tc>
          <w:tcPr>
            <w:tcW w:type="dxa" w:w="5400"/>
            <w:shd w:fill="F5F8F7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8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152625"/>
                <w:sz w:val="22"/>
                <w:szCs w:val="22"/>
              </w:rPr>
              <w:t xml:space="preserve">艾氯胺酮与危机应对计划与常规强化治疗预防自杀：巴西某市的一项务实随机试验 (SAVE)</w:t>
            </w:r>
          </w:p>
          <w:p>
            <w:pPr>
              <w:spacing w:after="0" w:before="0" w:line="320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20"/>
                <w:szCs w:val="20"/>
              </w:rPr>
              <w:t xml:space="preserve">ClinicalTrials.gov 研究：艾氯胺酮与危机应对计划与常规强化治疗预防自杀：巴西某市的一项务实随机试验 (SAVE)；NCT：NCT07120477；状态：已暂停；阶段：4期；适应症/疾病：自杀预防；氯胺酮；危机应对计划；首次发布：2025-08-13；最近更新：2026-08-25。</w:t>
            </w:r>
          </w:p>
          <w:p>
            <w:pPr>
              <w:spacing w:after="0" w:before="80"/>
            </w:pPr>
            <w:hyperlink w:history="1" r:id="rIdg6qrpmkapis_s40ysudco">
              <w:r>
                <w:rPr>
                  <w:rFonts w:ascii="Microsoft YaHei UI" w:cs="Microsoft YaHei UI" w:eastAsia="Microsoft YaHei UI" w:hAnsi="Microsoft YaHei UI"/>
                  <w:color w:val="1B6CA8"/>
                  <w:sz w:val="18"/>
                  <w:szCs w:val="18"/>
                  <w:u w:val="single"/>
                </w:rPr>
                <w:t xml:space="preserve">打开原始来源</w:t>
              </w:r>
            </w:hyperlink>
          </w:p>
        </w:tc>
        <w:tc>
          <w:tcPr>
            <w:tcW w:type="dxa" w:w="3150"/>
            <w:shd w:fill="F5F8F7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8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0B5C55"/>
                <w:sz w:val="22"/>
                <w:szCs w:val="22"/>
              </w:rPr>
              <w:t xml:space="preserve">潜在/新机制；Spravato</w:t>
            </w:r>
          </w:p>
          <w:p>
            <w:pPr>
              <w:spacing w:after="0" w:before="0" w:line="320"/>
            </w:pPr>
            <w:r>
              <w:rPr>
                <w:rFonts w:ascii="Microsoft YaHei UI" w:cs="Microsoft YaHei UI" w:eastAsia="Microsoft YaHei UI" w:hAnsi="Microsoft YaHei UI"/>
                <w:color w:val="152625"/>
                <w:sz w:val="20"/>
                <w:szCs w:val="20"/>
              </w:rPr>
              <w:t xml:space="preserve">治疗抵抗性抑郁快速起效；建议查看研究设计、入排标准和终点，判断对怡诺思或同机制竞品监测的影响。</w:t>
            </w:r>
          </w:p>
        </w:tc>
      </w:tr>
      <w:tr>
        <w:trPr>
          <w:cantSplit/>
        </w:trPr>
        <w:tc>
          <w:tcPr>
            <w:tcW w:type="dxa" w:w="1450"/>
            <w:shd w:fill="FFFFFF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152625"/>
                <w:sz w:val="22"/>
                <w:szCs w:val="22"/>
              </w:rPr>
              <w:t xml:space="preserve">2026-08-18</w:t>
            </w:r>
          </w:p>
          <w:p>
            <w:pPr>
              <w:spacing w:after="60" w:before="0" w:line="340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22"/>
                <w:szCs w:val="22"/>
              </w:rPr>
              <w:t xml:space="preserve">Clinical</w:t>
            </w:r>
          </w:p>
          <w:p>
            <w:pPr>
              <w:spacing w:after="0" w:before="0" w:line="340"/>
            </w:pPr>
            <w:r>
              <w:rPr>
                <w:rFonts w:ascii="Microsoft YaHei UI" w:cs="Microsoft YaHei UI" w:eastAsia="Microsoft YaHei UI" w:hAnsi="Microsoft YaHei UI"/>
                <w:color w:val="0B5C55"/>
                <w:sz w:val="18"/>
                <w:szCs w:val="18"/>
              </w:rPr>
              <w:t xml:space="preserve">高证据 / 建议跟进</w:t>
            </w:r>
          </w:p>
        </w:tc>
        <w:tc>
          <w:tcPr>
            <w:tcW w:type="dxa" w:w="5400"/>
            <w:shd w:fill="FFFFFF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8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152625"/>
                <w:sz w:val="22"/>
                <w:szCs w:val="22"/>
              </w:rPr>
              <w:t xml:space="preserve">别嘌呤醇治疗抑郁症</w:t>
            </w:r>
          </w:p>
          <w:p>
            <w:pPr>
              <w:spacing w:after="0" w:before="0" w:line="320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20"/>
                <w:szCs w:val="20"/>
              </w:rPr>
              <w:t xml:space="preserve">ClinicalTrials.gov 研究：别嘌呤醇治疗抑郁症；NCT：NCT07574060；状态：招募中；阶段：2期；3期；适应症/疾病：Depression；首次发布：2026-05-07；最近更新：2026-08-18。</w:t>
            </w:r>
          </w:p>
          <w:p>
            <w:pPr>
              <w:spacing w:after="0" w:before="80"/>
            </w:pPr>
            <w:hyperlink w:history="1" r:id="rId77iri9daekn6rje8awaub">
              <w:r>
                <w:rPr>
                  <w:rFonts w:ascii="Microsoft YaHei UI" w:cs="Microsoft YaHei UI" w:eastAsia="Microsoft YaHei UI" w:hAnsi="Microsoft YaHei UI"/>
                  <w:color w:val="1B6CA8"/>
                  <w:sz w:val="18"/>
                  <w:szCs w:val="18"/>
                  <w:u w:val="single"/>
                </w:rPr>
                <w:t xml:space="preserve">打开原始来源</w:t>
              </w:r>
            </w:hyperlink>
          </w:p>
        </w:tc>
        <w:tc>
          <w:tcPr>
            <w:tcW w:type="dxa" w:w="3150"/>
            <w:shd w:fill="FFFFFF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8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0B5C55"/>
                <w:sz w:val="22"/>
                <w:szCs w:val="22"/>
              </w:rPr>
              <w:t xml:space="preserve">机制竞品；左洛复/Zoloft</w:t>
            </w:r>
          </w:p>
          <w:p>
            <w:pPr>
              <w:spacing w:after="0" w:before="0" w:line="320"/>
            </w:pPr>
            <w:r>
              <w:rPr>
                <w:rFonts w:ascii="Microsoft YaHei UI" w:cs="Microsoft YaHei UI" w:eastAsia="Microsoft YaHei UI" w:hAnsi="Microsoft YaHei UI"/>
                <w:color w:val="152625"/>
                <w:sz w:val="20"/>
                <w:szCs w:val="20"/>
              </w:rPr>
              <w:t xml:space="preserve">SSRI 一线替代；建议查看研究设计、入排标准和终点，判断对怡诺思或同机制竞品监测的影响。</w:t>
            </w:r>
          </w:p>
        </w:tc>
      </w:tr>
      <w:tr>
        <w:trPr>
          <w:cantSplit/>
        </w:trPr>
        <w:tc>
          <w:tcPr>
            <w:tcW w:type="dxa" w:w="1450"/>
            <w:shd w:fill="F5F8F7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152625"/>
                <w:sz w:val="22"/>
                <w:szCs w:val="22"/>
              </w:rPr>
              <w:t xml:space="preserve">2026-08-18</w:t>
            </w:r>
          </w:p>
          <w:p>
            <w:pPr>
              <w:spacing w:after="60" w:before="0" w:line="340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22"/>
                <w:szCs w:val="22"/>
              </w:rPr>
              <w:t xml:space="preserve">Clinical</w:t>
            </w:r>
          </w:p>
          <w:p>
            <w:pPr>
              <w:spacing w:after="0" w:before="0" w:line="340"/>
            </w:pPr>
            <w:r>
              <w:rPr>
                <w:rFonts w:ascii="Microsoft YaHei UI" w:cs="Microsoft YaHei UI" w:eastAsia="Microsoft YaHei UI" w:hAnsi="Microsoft YaHei UI"/>
                <w:color w:val="0B5C55"/>
                <w:sz w:val="18"/>
                <w:szCs w:val="18"/>
              </w:rPr>
              <w:t xml:space="preserve">高证据 / 建议跟进</w:t>
            </w:r>
          </w:p>
        </w:tc>
        <w:tc>
          <w:tcPr>
            <w:tcW w:type="dxa" w:w="5400"/>
            <w:shd w:fill="F5F8F7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8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152625"/>
                <w:sz w:val="22"/>
                <w:szCs w:val="22"/>
              </w:rPr>
              <w:t xml:space="preserve">重新定义研究：一项评估 COMP360 对创伤后应激障碍参与者的有效性、安全性和耐受性的研究</w:t>
            </w:r>
          </w:p>
          <w:p>
            <w:pPr>
              <w:spacing w:after="0" w:before="0" w:line="320"/>
            </w:pPr>
            <w:r>
              <w:rPr>
                <w:rFonts w:ascii="Microsoft YaHei UI" w:cs="Microsoft YaHei UI" w:eastAsia="Microsoft YaHei UI" w:hAnsi="Microsoft YaHei UI"/>
                <w:color w:val="5F706E"/>
                <w:sz w:val="20"/>
                <w:szCs w:val="20"/>
              </w:rPr>
              <w:t xml:space="preserve">ClinicalTrials.gov 研究：重新定义研究：一项评估 COMP360 对创伤后应激障碍参与者的有效性、安全性和耐受性的研究；NCT：NCT07570654；状态：招募中；阶段：2期；3期；适应症/疾病：PTSD - 创伤后应激障碍；PTSD；PTSD 症状；PTSD, 创伤后应激障碍；首次发布：2026-05-06；最近更新：2026-08-18。</w:t>
            </w:r>
          </w:p>
          <w:p>
            <w:pPr>
              <w:spacing w:after="0" w:before="80"/>
            </w:pPr>
            <w:hyperlink w:history="1" r:id="rIdwc9alefz6ferixpgdvfp4">
              <w:r>
                <w:rPr>
                  <w:rFonts w:ascii="Microsoft YaHei UI" w:cs="Microsoft YaHei UI" w:eastAsia="Microsoft YaHei UI" w:hAnsi="Microsoft YaHei UI"/>
                  <w:color w:val="1B6CA8"/>
                  <w:sz w:val="18"/>
                  <w:szCs w:val="18"/>
                  <w:u w:val="single"/>
                </w:rPr>
                <w:t xml:space="preserve">打开原始来源</w:t>
              </w:r>
            </w:hyperlink>
          </w:p>
        </w:tc>
        <w:tc>
          <w:tcPr>
            <w:tcW w:type="dxa" w:w="3150"/>
            <w:shd w:fill="F5F8F7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80" w:before="0" w:line="340"/>
            </w:pPr>
            <w:r>
              <w:rPr>
                <w:rFonts w:ascii="Microsoft YaHei UI" w:cs="Microsoft YaHei UI" w:eastAsia="Microsoft YaHei UI" w:hAnsi="Microsoft YaHei UI"/>
                <w:b/>
                <w:bCs/>
                <w:color w:val="0B5C55"/>
                <w:sz w:val="22"/>
                <w:szCs w:val="22"/>
              </w:rPr>
              <w:t xml:space="preserve">潜在/新机制；COMP360 等</w:t>
            </w:r>
          </w:p>
          <w:p>
            <w:pPr>
              <w:spacing w:after="0" w:before="0" w:line="320"/>
            </w:pPr>
            <w:r>
              <w:rPr>
                <w:rFonts w:ascii="Microsoft YaHei UI" w:cs="Microsoft YaHei UI" w:eastAsia="Microsoft YaHei UI" w:hAnsi="Microsoft YaHei UI"/>
                <w:color w:val="152625"/>
                <w:sz w:val="20"/>
                <w:szCs w:val="20"/>
              </w:rPr>
              <w:t xml:space="preserve">治疗抵抗性抑郁潜在新机制；建议查看研究设计、入排标准和终点，判断对怡诺思或同机制竞品监测的影响。</w:t>
            </w:r>
          </w:p>
        </w:tc>
      </w:tr>
    </w:tbl>
    <w:p>
      <w:pPr>
        <w:pStyle w:val="Heading1"/>
        <w:keepNext/>
        <w:spacing w:after="160" w:before="300" w:line="340"/>
      </w:pPr>
      <w:r>
        <w:rPr>
          <w:rFonts w:ascii="Microsoft YaHei UI" w:cs="Microsoft YaHei UI" w:eastAsia="Microsoft YaHei UI" w:hAnsi="Microsoft YaHei UI"/>
          <w:color w:val="152625"/>
          <w:sz w:val="22"/>
          <w:szCs w:val="22"/>
        </w:rPr>
        <w:t xml:space="preserve">KOL / 专家动态</w:t>
      </w:r>
    </w:p>
    <w:p>
      <w:pPr>
        <w:spacing w:after="140" w:before="0" w:line="340"/>
      </w:pPr>
      <w:r>
        <w:rPr>
          <w:rFonts w:ascii="Microsoft YaHei UI" w:cs="Microsoft YaHei UI" w:eastAsia="Microsoft YaHei UI" w:hAnsi="Microsoft YaHei UI"/>
          <w:color w:val="5F706E"/>
          <w:sz w:val="22"/>
          <w:szCs w:val="22"/>
        </w:rPr>
        <w:t xml:space="preserve">本月未检索到可确认身份的产品相关专家记录。</w:t>
      </w:r>
    </w:p>
    <w:p>
      <w:pPr>
        <w:pStyle w:val="Heading1"/>
        <w:keepNext/>
        <w:spacing w:after="160" w:before="300" w:line="340"/>
      </w:pPr>
      <w:r>
        <w:rPr>
          <w:rFonts w:ascii="Microsoft YaHei UI" w:cs="Microsoft YaHei UI" w:eastAsia="Microsoft YaHei UI" w:hAnsi="Microsoft YaHei UI"/>
          <w:color w:val="152625"/>
          <w:sz w:val="22"/>
          <w:szCs w:val="22"/>
        </w:rPr>
        <w:t xml:space="preserve">涉及分子 / 靶点</w:t>
      </w:r>
    </w:p>
    <w:p>
      <w:pPr>
        <w:pStyle w:val="ListParagraph"/>
        <w:numPr>
          <w:ilvl w:val="0"/>
          <w:numId w:val="1"/>
        </w:numPr>
        <w:spacing w:after="80" w:before="0" w:line="340"/>
      </w:pPr>
      <w:r>
        <w:rPr>
          <w:rFonts w:ascii="Microsoft YaHei UI" w:cs="Microsoft YaHei UI" w:eastAsia="Microsoft YaHei UI" w:hAnsi="Microsoft YaHei UI"/>
          <w:color w:val="152625"/>
          <w:sz w:val="21"/>
          <w:szCs w:val="21"/>
        </w:rPr>
        <w:t xml:space="preserve">盐酸艾司氯胺酮 / esketamine hydrochloride / C13H17Cl2NO（27 条）</w:t>
      </w:r>
    </w:p>
    <w:p>
      <w:pPr>
        <w:pStyle w:val="ListParagraph"/>
        <w:numPr>
          <w:ilvl w:val="0"/>
          <w:numId w:val="1"/>
        </w:numPr>
        <w:spacing w:after="80" w:before="0" w:line="340"/>
      </w:pPr>
      <w:r>
        <w:rPr>
          <w:rFonts w:ascii="Microsoft YaHei UI" w:cs="Microsoft YaHei UI" w:eastAsia="Microsoft YaHei UI" w:hAnsi="Microsoft YaHei UI"/>
          <w:color w:val="152625"/>
          <w:sz w:val="21"/>
          <w:szCs w:val="21"/>
        </w:rPr>
        <w:t xml:space="preserve">裸盖菇素 / psilocybin / C12H17N2O4P（26 条）</w:t>
      </w:r>
    </w:p>
    <w:p>
      <w:pPr>
        <w:pStyle w:val="ListParagraph"/>
        <w:numPr>
          <w:ilvl w:val="0"/>
          <w:numId w:val="1"/>
        </w:numPr>
        <w:spacing w:after="80" w:before="0" w:line="340"/>
      </w:pPr>
      <w:r>
        <w:rPr>
          <w:rFonts w:ascii="Microsoft YaHei UI" w:cs="Microsoft YaHei UI" w:eastAsia="Microsoft YaHei UI" w:hAnsi="Microsoft YaHei UI"/>
          <w:color w:val="152625"/>
          <w:sz w:val="21"/>
          <w:szCs w:val="21"/>
        </w:rPr>
        <w:t xml:space="preserve">盐酸安非他酮 / bupropion hydrochloride / C13H19Cl2NO（22 条）</w:t>
      </w:r>
    </w:p>
    <w:p>
      <w:pPr>
        <w:pStyle w:val="ListParagraph"/>
        <w:numPr>
          <w:ilvl w:val="0"/>
          <w:numId w:val="1"/>
        </w:numPr>
        <w:spacing w:after="80" w:before="0" w:line="340"/>
      </w:pPr>
      <w:r>
        <w:rPr>
          <w:rFonts w:ascii="Microsoft YaHei UI" w:cs="Microsoft YaHei UI" w:eastAsia="Microsoft YaHei UI" w:hAnsi="Microsoft YaHei UI"/>
          <w:color w:val="152625"/>
          <w:sz w:val="21"/>
          <w:szCs w:val="21"/>
        </w:rPr>
        <w:t xml:space="preserve">盐酸度洛西汀 / duloxetine hydrochloride / C18H20ClNOS（18 条）</w:t>
      </w:r>
    </w:p>
    <w:p>
      <w:pPr>
        <w:pStyle w:val="ListParagraph"/>
        <w:numPr>
          <w:ilvl w:val="0"/>
          <w:numId w:val="1"/>
        </w:numPr>
        <w:spacing w:after="80" w:before="0" w:line="340"/>
      </w:pPr>
      <w:r>
        <w:rPr>
          <w:rFonts w:ascii="Microsoft YaHei UI" w:cs="Microsoft YaHei UI" w:eastAsia="Microsoft YaHei UI" w:hAnsi="Microsoft YaHei UI"/>
          <w:color w:val="152625"/>
          <w:sz w:val="21"/>
          <w:szCs w:val="21"/>
        </w:rPr>
        <w:t xml:space="preserve">盐酸舍曲林 / sertraline hydrochloride / C17H18Cl3N（15 条）</w:t>
      </w:r>
    </w:p>
    <w:p>
      <w:pPr>
        <w:pStyle w:val="ListParagraph"/>
        <w:numPr>
          <w:ilvl w:val="0"/>
          <w:numId w:val="1"/>
        </w:numPr>
        <w:spacing w:after="80" w:before="0" w:line="340"/>
      </w:pPr>
      <w:r>
        <w:rPr>
          <w:rFonts w:ascii="Microsoft YaHei UI" w:cs="Microsoft YaHei UI" w:eastAsia="Microsoft YaHei UI" w:hAnsi="Microsoft YaHei UI"/>
          <w:color w:val="152625"/>
          <w:sz w:val="21"/>
          <w:szCs w:val="21"/>
        </w:rPr>
        <w:t xml:space="preserve">盐酸文拉法辛 / venlafaxine hydrochloride / C17H28ClNO2（8 条）</w:t>
      </w:r>
    </w:p>
    <w:p>
      <w:pPr>
        <w:pStyle w:val="ListParagraph"/>
        <w:numPr>
          <w:ilvl w:val="0"/>
          <w:numId w:val="1"/>
        </w:numPr>
        <w:spacing w:after="80" w:before="0" w:line="340"/>
      </w:pPr>
      <w:r>
        <w:rPr>
          <w:rFonts w:ascii="Microsoft YaHei UI" w:cs="Microsoft YaHei UI" w:eastAsia="Microsoft YaHei UI" w:hAnsi="Microsoft YaHei UI"/>
          <w:color w:val="152625"/>
          <w:sz w:val="21"/>
          <w:szCs w:val="21"/>
        </w:rPr>
        <w:t xml:space="preserve">非唑奈坦 / fezolinetant / C16H15FN6OS（7 条）</w:t>
      </w:r>
    </w:p>
    <w:p>
      <w:pPr>
        <w:pStyle w:val="ListParagraph"/>
        <w:numPr>
          <w:ilvl w:val="0"/>
          <w:numId w:val="1"/>
        </w:numPr>
        <w:spacing w:after="80" w:before="0" w:line="340"/>
      </w:pPr>
      <w:r>
        <w:rPr>
          <w:rFonts w:ascii="Microsoft YaHei UI" w:cs="Microsoft YaHei UI" w:eastAsia="Microsoft YaHei UI" w:hAnsi="Microsoft YaHei UI"/>
          <w:color w:val="152625"/>
          <w:sz w:val="21"/>
          <w:szCs w:val="21"/>
        </w:rPr>
        <w:t xml:space="preserve">米氮平 / mirtazapine / C17H19N3（5 条）</w:t>
      </w:r>
    </w:p>
    <w:p>
      <w:pPr>
        <w:pStyle w:val="ListParagraph"/>
        <w:numPr>
          <w:ilvl w:val="0"/>
          <w:numId w:val="1"/>
        </w:numPr>
        <w:spacing w:after="80" w:before="0" w:line="340"/>
      </w:pPr>
      <w:r>
        <w:rPr>
          <w:rFonts w:ascii="Microsoft YaHei UI" w:cs="Microsoft YaHei UI" w:eastAsia="Microsoft YaHei UI" w:hAnsi="Microsoft YaHei UI"/>
          <w:color w:val="152625"/>
          <w:sz w:val="21"/>
          <w:szCs w:val="21"/>
        </w:rPr>
        <w:t xml:space="preserve">氢溴酸伏硫西汀 / vortioxetine hydrobromide / C18H23BrN2S（4 条）</w:t>
      </w:r>
    </w:p>
    <w:p>
      <w:pPr>
        <w:pStyle w:val="ListParagraph"/>
        <w:numPr>
          <w:ilvl w:val="0"/>
          <w:numId w:val="1"/>
        </w:numPr>
        <w:spacing w:after="80" w:before="0" w:line="340"/>
      </w:pPr>
      <w:r>
        <w:rPr>
          <w:rFonts w:ascii="Microsoft YaHei UI" w:cs="Microsoft YaHei UI" w:eastAsia="Microsoft YaHei UI" w:hAnsi="Microsoft YaHei UI"/>
          <w:color w:val="152625"/>
          <w:sz w:val="21"/>
          <w:szCs w:val="21"/>
        </w:rPr>
        <w:t xml:space="preserve">琥珀酸去甲文拉法辛 / desvenlafaxine succinate / C20H33NO7（2 条）</w:t>
      </w:r>
    </w:p>
    <w:p>
      <w:pPr>
        <w:pStyle w:val="Heading1"/>
        <w:keepNext/>
        <w:spacing w:after="160" w:before="300" w:line="340"/>
      </w:pPr>
      <w:r>
        <w:rPr>
          <w:rFonts w:ascii="Microsoft YaHei UI" w:cs="Microsoft YaHei UI" w:eastAsia="Microsoft YaHei UI" w:hAnsi="Microsoft YaHei UI"/>
          <w:color w:val="152625"/>
          <w:sz w:val="22"/>
          <w:szCs w:val="22"/>
        </w:rPr>
        <w:t xml:space="preserve">建议跟进</w:t>
      </w:r>
    </w:p>
    <w:p>
      <w:pPr>
        <w:pStyle w:val="ListParagraph"/>
        <w:numPr>
          <w:ilvl w:val="0"/>
          <w:numId w:val="2"/>
        </w:numPr>
        <w:spacing w:after="110" w:before="0" w:line="340"/>
      </w:pPr>
      <w:r>
        <w:rPr>
          <w:rFonts w:ascii="Microsoft YaHei UI" w:cs="Microsoft YaHei UI" w:eastAsia="Microsoft YaHei UI" w:hAnsi="Microsoft YaHei UI"/>
          <w:color w:val="152625"/>
          <w:sz w:val="22"/>
          <w:szCs w:val="22"/>
        </w:rPr>
        <w:t xml:space="preserve">跟踪难治性抑郁研究的缓解和复发终点</w:t>
      </w:r>
    </w:p>
    <w:p>
      <w:pPr>
        <w:pStyle w:val="ListParagraph"/>
        <w:numPr>
          <w:ilvl w:val="0"/>
          <w:numId w:val="2"/>
        </w:numPr>
        <w:spacing w:after="110" w:before="0" w:line="340"/>
      </w:pPr>
      <w:r>
        <w:rPr>
          <w:rFonts w:ascii="Microsoft YaHei UI" w:cs="Microsoft YaHei UI" w:eastAsia="Microsoft YaHei UI" w:hAnsi="Microsoft YaHei UI"/>
          <w:color w:val="152625"/>
          <w:sz w:val="22"/>
          <w:szCs w:val="22"/>
        </w:rPr>
        <w:t xml:space="preserve">比较 SNRI、安非他酮和快速起效方案的患者选择</w:t>
      </w:r>
    </w:p>
    <w:p>
      <w:pPr>
        <w:pStyle w:val="ListParagraph"/>
        <w:numPr>
          <w:ilvl w:val="0"/>
          <w:numId w:val="2"/>
        </w:numPr>
        <w:spacing w:after="110" w:before="0" w:line="340"/>
      </w:pPr>
      <w:r>
        <w:rPr>
          <w:rFonts w:ascii="Microsoft YaHei UI" w:cs="Microsoft YaHei UI" w:eastAsia="Microsoft YaHei UI" w:hAnsi="Microsoft YaHei UI"/>
          <w:color w:val="152625"/>
          <w:sz w:val="22"/>
          <w:szCs w:val="22"/>
        </w:rPr>
        <w:t xml:space="preserve">更新停药、耐受性和长期治疗沟通</w:t>
      </w:r>
    </w:p>
    <w:sectPr>
      <w:headerReference w:type="default" r:id="rId7"/>
      <w:footerReference w:type="default" r:id="rId8"/>
      <w:pgSz w:w="11906" w:h="16838" w:orient="portrait"/>
      <w:pgMar w:top="1150" w:right="950" w:bottom="10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 UI" w:cs="Microsoft YaHei UI" w:eastAsia="Microsoft YaHei UI" w:hAnsi="Microsoft YaHei UI"/>
        <w:color w:val="5F706E"/>
        <w:sz w:val="17"/>
        <w:szCs w:val="17"/>
      </w:rPr>
      <w:t xml:space="preserve">内部工作材料 ·</w:t>
    </w:r>
    <w:r>
      <w:rPr>
        <w:rFonts w:ascii="Microsoft YaHei UI" w:cs="Microsoft YaHei UI" w:eastAsia="Microsoft YaHei UI" w:hAnsi="Microsoft YaHei UI"/>
        <w:color w:val="5F706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340"/>
      <w:jc w:val="right"/>
    </w:pPr>
    <w:r>
      <w:rPr>
        <w:rFonts w:ascii="Microsoft YaHei UI" w:cs="Microsoft YaHei UI" w:eastAsia="Microsoft YaHei UI" w:hAnsi="Microsoft YaHei UI"/>
        <w:color w:val="5F706E"/>
        <w:sz w:val="17"/>
        <w:szCs w:val="17"/>
      </w:rPr>
      <w:t xml:space="preserve">怡诺思 | 2026年8月产品情报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 UI" w:cs="Microsoft YaHei UI" w:eastAsia="Microsoft YaHei UI" w:hAnsi="Microsoft YaHei UI"/>
        <w:color w:val="152625"/>
        <w:sz w:val="22"/>
        <w:szCs w:val="22"/>
      </w:rPr>
    </w:rPrDefault>
    <w:pPrDefault>
      <w:pPr>
        <w:spacing w:after="12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00"/>
    </w:pPr>
    <w:rPr>
      <w:rFonts w:ascii="Microsoft YaHei UI" w:cs="Microsoft YaHei UI" w:eastAsia="Microsoft YaHei UI" w:hAnsi="Microsoft YaHei UI"/>
      <w:b/>
      <w:bCs/>
      <w:color w:val="0B5C55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urx-qewktiwdlcrnfvoh" Type="http://schemas.openxmlformats.org/officeDocument/2006/relationships/hyperlink" Target="https://clinicaltrials.gov/study/NCT07753772" TargetMode="External"/><Relationship Id="rIdfqdc1zrujnkvisnpkqlbn" Type="http://schemas.openxmlformats.org/officeDocument/2006/relationships/hyperlink" Target="https://clinicaltrials.gov/study/NCT07748884" TargetMode="External"/><Relationship Id="rIdzt4bkthrppky0nylc0x1a" Type="http://schemas.openxmlformats.org/officeDocument/2006/relationships/hyperlink" Target="https://clinicaltrials.gov/study/NCT07741331" TargetMode="External"/><Relationship Id="rIdh4e-oh33sqbtu29hvo5aj" Type="http://schemas.openxmlformats.org/officeDocument/2006/relationships/hyperlink" Target="https://clinicaltrials.gov/study/NCT07759336" TargetMode="External"/><Relationship Id="rId7td_ee5agdum146p_2clm" Type="http://schemas.openxmlformats.org/officeDocument/2006/relationships/hyperlink" Target="https://clinicaltrials.gov/study/NCT07227454" TargetMode="External"/><Relationship Id="rIdg6qrpmkapis_s40ysudco" Type="http://schemas.openxmlformats.org/officeDocument/2006/relationships/hyperlink" Target="https://clinicaltrials.gov/study/NCT07120477" TargetMode="External"/><Relationship Id="rId77iri9daekn6rje8awaub" Type="http://schemas.openxmlformats.org/officeDocument/2006/relationships/hyperlink" Target="https://clinicaltrials.gov/study/NCT07574060" TargetMode="External"/><Relationship Id="rIdwc9alefz6ferixpgdvfp4" Type="http://schemas.openxmlformats.org/officeDocument/2006/relationships/hyperlink" Target="https://clinicaltrials.gov/study/NCT07570654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2026年8月怡诺思关注报告</dc:title>
  <dc:creator>Codex</dc:creator>
  <cp:lastModifiedBy>Un-named</cp:lastModifiedBy>
  <cp:revision>1</cp:revision>
  <dcterms:created xsi:type="dcterms:W3CDTF">2026-09-08T04:16:23.145Z</dcterms:created>
  <dcterms:modified xsi:type="dcterms:W3CDTF">2026-09-08T04:16:23.145Z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