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爱宁达｜2026年8月关注报告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185</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96</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47</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2026年8月爱宁达最值得注意的是：AD 治疗竞争在外用非激素、外用 JAK 与系统生物制剂三条路径上同步升级。</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185 条有效产品/竞品进展，其中 96 条建议跟进、47 条为高证据。优先记录包括《奈莫利珠单抗治疗中国中重度特应性皮炎受试者的随机、双盲、安慰剂对照研究》、《一项评估皮下注射 Amlitelimab 对 12 岁及以上患有中度至重度 AD 的参与者进行背景局部皮质类固醇治疗的有效性和安全性的研究，这些参与者对既往生物疗法或口服 JAK 抑制剂反应不足》。</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优先查看机制竞品；Opzelura、系统治疗竞品；Rinvoq、生物制剂竞品；Dupixent、系统治疗竞品；Olumiant，并把同一研究在不同检索路径下的重复命中合并判断。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爱宁达是乳膏，最直接的竞争来自外用方案；系统治疗则影响中重度患者升级路径和轻中度阶段的早期控制逻辑。</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严格排除滴眼液、移植等非皮肤外用剂型；单独比较外用非激素、外用 JAK 和系统治疗；更新轻中度 AD、敏感部位和长期管理的沟通要点。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奈莫利珠单抗治疗中国中重度特应性皮炎受试者的随机、双盲、安慰剂对照研究</w:t>
            </w:r>
          </w:p>
          <w:p>
            <w:pPr>
              <w:spacing w:after="0" w:before="0" w:line="320"/>
            </w:pPr>
            <w:r>
              <w:rPr>
                <w:rFonts w:ascii="Microsoft YaHei UI" w:cs="Microsoft YaHei UI" w:eastAsia="Microsoft YaHei UI" w:hAnsi="Microsoft YaHei UI"/>
                <w:color w:val="5F706E"/>
                <w:sz w:val="20"/>
                <w:szCs w:val="20"/>
              </w:rPr>
              <w:t xml:space="preserve">ClinicalTrials.gov 研究：奈莫利珠单抗治疗中国中重度特应性皮炎受试者的随机、双盲、安慰剂对照研究；NCT：NCT07762833；状态：尚未招募；阶段：3期；适应症/疾病：特应性皮炎；首次发布：2026-08-13；最近更新：2026-08-13。</w:t>
            </w:r>
          </w:p>
          <w:p>
            <w:pPr>
              <w:spacing w:after="0" w:before="80"/>
            </w:pPr>
            <w:hyperlink w:history="1" r:id="rIdyrtzcazzgh8x0dnkxsunr">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生物制剂竞品；Mitchga/Nemluvio</w:t>
            </w:r>
          </w:p>
          <w:p>
            <w:pPr>
              <w:spacing w:after="0" w:before="0" w:line="320"/>
            </w:pPr>
            <w:r>
              <w:rPr>
                <w:rFonts w:ascii="Microsoft YaHei UI" w:cs="Microsoft YaHei UI" w:eastAsia="Microsoft YaHei UI" w:hAnsi="Microsoft YaHei UI"/>
                <w:color w:val="152625"/>
                <w:sz w:val="20"/>
                <w:szCs w:val="20"/>
              </w:rPr>
              <w:t xml:space="preserve">瘙痒和 AD 相关生物制剂；建议查看研究设计、入排标准和终点，判断对爱宁达或同机制竞品监测的影响。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一项评估皮下注射 Amlitelimab 对 12 岁及以上患有中度至重度 AD 的参与者进行背景局部皮质类固醇治疗的有效性和安全性的研究，这些参与者对既往生物疗法或口服 JAK 抑制剂反应不足</w:t>
            </w:r>
          </w:p>
          <w:p>
            <w:pPr>
              <w:spacing w:after="0" w:before="0" w:line="320"/>
            </w:pPr>
            <w:r>
              <w:rPr>
                <w:rFonts w:ascii="Microsoft YaHei UI" w:cs="Microsoft YaHei UI" w:eastAsia="Microsoft YaHei UI" w:hAnsi="Microsoft YaHei UI"/>
                <w:color w:val="5F706E"/>
                <w:sz w:val="20"/>
                <w:szCs w:val="20"/>
              </w:rPr>
              <w:t xml:space="preserve">ClinicalTrials.gov 研究：一项评估皮下注射 Amlitelimab 对 12 岁及以上患有中度至重度 AD 的参与者进行背景局部皮质类固醇治疗的有效性和安全性的研究，这些参与者对既往生物疗法或口服 JAK 抑制剂反应不足；NCT：NCT06241118；状态：活跃，已停止招募；阶段：3期；适应症/疾病：特应性皮炎；首次发布：2024-02-05；最近更新：2026-08-27。</w:t>
            </w:r>
          </w:p>
          <w:p>
            <w:pPr>
              <w:spacing w:after="0" w:before="80"/>
            </w:pPr>
            <w:hyperlink w:history="1" r:id="rIdxabwvu87gidt5q617j-xh">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本品/同成分；爱宁达/Elidel</w:t>
            </w:r>
          </w:p>
          <w:p>
            <w:pPr>
              <w:spacing w:after="0" w:before="0" w:line="320"/>
            </w:pPr>
            <w:r>
              <w:rPr>
                <w:rFonts w:ascii="Microsoft YaHei UI" w:cs="Microsoft YaHei UI" w:eastAsia="Microsoft YaHei UI" w:hAnsi="Microsoft YaHei UI"/>
                <w:color w:val="152625"/>
                <w:sz w:val="20"/>
                <w:szCs w:val="20"/>
              </w:rPr>
              <w:t xml:space="preserve">同成分和外用 AD 药物竞争；建议查看研究设计、入排标准和终点，判断对爱宁达或同机制竞品监测的影响。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一项研究 Tapinarof 乳膏（1%）在 3 个月至 24 个月以下患有特应性皮炎的参与者中的安全性和有效性的研究</w:t>
            </w:r>
          </w:p>
          <w:p>
            <w:pPr>
              <w:spacing w:after="0" w:before="0" w:line="320"/>
            </w:pPr>
            <w:r>
              <w:rPr>
                <w:rFonts w:ascii="Microsoft YaHei UI" w:cs="Microsoft YaHei UI" w:eastAsia="Microsoft YaHei UI" w:hAnsi="Microsoft YaHei UI"/>
                <w:color w:val="5F706E"/>
                <w:sz w:val="20"/>
                <w:szCs w:val="20"/>
              </w:rPr>
              <w:t xml:space="preserve">ClinicalTrials.gov 研究：一项研究 Tapinarof 乳膏（1%）在 3 个月至 24 个月以下患有特应性皮炎的参与者中的安全性和有效性的研究；NCT：NCT07265479；状态：活跃，已停止招募；阶段：3期；适应症/疾病：特应性皮炎；首次发布：2025-12-04；最近更新：2026-08-12。</w:t>
            </w:r>
          </w:p>
          <w:p>
            <w:pPr>
              <w:spacing w:after="0" w:before="80"/>
            </w:pPr>
            <w:hyperlink w:history="1" r:id="rIdiwdudhlboq4qaxdifrjz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直接竞品；Vtama/本维莫德</w:t>
            </w:r>
          </w:p>
          <w:p>
            <w:pPr>
              <w:spacing w:after="0" w:before="0" w:line="320"/>
            </w:pPr>
            <w:r>
              <w:rPr>
                <w:rFonts w:ascii="Microsoft YaHei UI" w:cs="Microsoft YaHei UI" w:eastAsia="Microsoft YaHei UI" w:hAnsi="Microsoft YaHei UI"/>
                <w:color w:val="152625"/>
                <w:sz w:val="20"/>
                <w:szCs w:val="20"/>
              </w:rPr>
              <w:t xml:space="preserve">外用非激素 AD/炎症性皮肤病竞品；建议查看研究设计、入排标准和终点，判断对爱宁达或同机制竞品监测的影响。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银屑病治疗后炎症后色素改变的比较 (PIPA - Dermavant)</w:t>
            </w:r>
          </w:p>
          <w:p>
            <w:pPr>
              <w:spacing w:after="0" w:before="0" w:line="320"/>
            </w:pPr>
            <w:r>
              <w:rPr>
                <w:rFonts w:ascii="Microsoft YaHei UI" w:cs="Microsoft YaHei UI" w:eastAsia="Microsoft YaHei UI" w:hAnsi="Microsoft YaHei UI"/>
                <w:color w:val="5F706E"/>
                <w:sz w:val="20"/>
                <w:szCs w:val="20"/>
              </w:rPr>
              <w:t xml:space="preserve">ClinicalTrials.gov 研究：银屑病治疗后炎症后色素改变的比较 (PIPA - Dermavant)；NCT：NCT05981118；状态：仅限受邀入组；阶段：2期；3期；适应症/疾病：牛皮癣的 ICD10 代码 L40.9；首次发布：2023-08-08；最近更新：2026-08-04。</w:t>
            </w:r>
          </w:p>
          <w:p>
            <w:pPr>
              <w:spacing w:after="0" w:before="80"/>
            </w:pPr>
            <w:hyperlink w:history="1" r:id="rIdaeks78hovu5h8hfxtxrb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直接竞品；Vtama/本维莫德</w:t>
            </w:r>
          </w:p>
          <w:p>
            <w:pPr>
              <w:spacing w:after="0" w:before="0" w:line="320"/>
            </w:pPr>
            <w:r>
              <w:rPr>
                <w:rFonts w:ascii="Microsoft YaHei UI" w:cs="Microsoft YaHei UI" w:eastAsia="Microsoft YaHei UI" w:hAnsi="Microsoft YaHei UI"/>
                <w:color w:val="152625"/>
                <w:sz w:val="20"/>
                <w:szCs w:val="20"/>
              </w:rPr>
              <w:t xml:space="preserve">外用非激素 AD/炎症性皮肤病竞品；建议查看研究设计、入排标准和终点，判断对爱宁达或同机制竞品监测的影响。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两种治疗斑块状银屑病的生物等效性研究</w:t>
            </w:r>
          </w:p>
          <w:p>
            <w:pPr>
              <w:spacing w:after="0" w:before="0" w:line="320"/>
            </w:pPr>
            <w:r>
              <w:rPr>
                <w:rFonts w:ascii="Microsoft YaHei UI" w:cs="Microsoft YaHei UI" w:eastAsia="Microsoft YaHei UI" w:hAnsi="Microsoft YaHei UI"/>
                <w:color w:val="5F706E"/>
                <w:sz w:val="20"/>
                <w:szCs w:val="20"/>
              </w:rPr>
              <w:t xml:space="preserve">ClinicalTrials.gov 研究：两种治疗斑块状银屑病的生物等效性研究；NCT：NCT05763082；状态：已完成；阶段：3期；适应症/疾病：斑块状银屑病；首次发布：2023-03-10；最近更新：2026-08-26。</w:t>
            </w:r>
          </w:p>
          <w:p>
            <w:pPr>
              <w:spacing w:after="0" w:before="80"/>
            </w:pPr>
            <w:hyperlink w:history="1" r:id="rIdd9o3m5jby4y2x7veg1_g3">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机制竞品；Zoryve</w:t>
            </w:r>
          </w:p>
          <w:p>
            <w:pPr>
              <w:spacing w:after="0" w:before="0" w:line="320"/>
            </w:pPr>
            <w:r>
              <w:rPr>
                <w:rFonts w:ascii="Microsoft YaHei UI" w:cs="Microsoft YaHei UI" w:eastAsia="Microsoft YaHei UI" w:hAnsi="Microsoft YaHei UI"/>
                <w:color w:val="152625"/>
                <w:sz w:val="20"/>
                <w:szCs w:val="20"/>
              </w:rPr>
              <w:t xml:space="preserve">炎症性皮肤病外用替代；建议查看研究设计、入排标准和终点，判断对爱宁达或同机制竞品监测的影响。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Delgocitinib 乳膏对 12-17 岁中度至重度慢性手部湿疹青少年的疗效和安全性</w:t>
            </w:r>
          </w:p>
          <w:p>
            <w:pPr>
              <w:spacing w:after="0" w:before="0" w:line="320"/>
            </w:pPr>
            <w:r>
              <w:rPr>
                <w:rFonts w:ascii="Microsoft YaHei UI" w:cs="Microsoft YaHei UI" w:eastAsia="Microsoft YaHei UI" w:hAnsi="Microsoft YaHei UI"/>
                <w:color w:val="5F706E"/>
                <w:sz w:val="20"/>
                <w:szCs w:val="20"/>
              </w:rPr>
              <w:t xml:space="preserve">ClinicalTrials.gov 研究：Delgocitinib 乳膏对 12-17 岁中度至重度慢性手部湿疹青少年的疗效和安全性；NCT：NCT05355818；状态：已完成；阶段：3期；适应症/疾病：慢性手部湿疹；首次发布：2022-05-02；最近更新：2026-08-21。</w:t>
            </w:r>
          </w:p>
          <w:p>
            <w:pPr>
              <w:spacing w:after="0" w:before="80"/>
            </w:pPr>
            <w:hyperlink w:history="1" r:id="rIda0ruprvysmrp6kytz8her">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机制竞品；Corectim</w:t>
            </w:r>
          </w:p>
          <w:p>
            <w:pPr>
              <w:spacing w:after="0" w:before="0" w:line="320"/>
            </w:pPr>
            <w:r>
              <w:rPr>
                <w:rFonts w:ascii="Microsoft YaHei UI" w:cs="Microsoft YaHei UI" w:eastAsia="Microsoft YaHei UI" w:hAnsi="Microsoft YaHei UI"/>
                <w:color w:val="152625"/>
                <w:sz w:val="20"/>
                <w:szCs w:val="20"/>
              </w:rPr>
              <w:t xml:space="preserve">外用 JAK 机制替代；建议查看研究设计、入排标准和终点，判断对爱宁达或同机制竞品监测的影响。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一项名为 Abrocitinib 的药物治疗 2 岁及以上中度至重度湿疹儿童的长期研究</w:t>
            </w:r>
          </w:p>
          <w:p>
            <w:pPr>
              <w:spacing w:after="0" w:before="0" w:line="320"/>
            </w:pPr>
            <w:r>
              <w:rPr>
                <w:rFonts w:ascii="Microsoft YaHei UI" w:cs="Microsoft YaHei UI" w:eastAsia="Microsoft YaHei UI" w:hAnsi="Microsoft YaHei UI"/>
                <w:color w:val="5F706E"/>
                <w:sz w:val="20"/>
                <w:szCs w:val="20"/>
              </w:rPr>
              <w:t xml:space="preserve">ClinicalTrials.gov 研究：一项名为 Abrocitinib 的药物治疗 2 岁及以上中度至重度湿疹儿童的长期研究；NCT：NCT06807281；状态：招募中；阶段：3期；适应症/疾病：特应性皮炎；首次发布：2025-02-04；最近更新：2026-08-17。</w:t>
            </w:r>
          </w:p>
          <w:p>
            <w:pPr>
              <w:spacing w:after="0" w:before="80"/>
            </w:pPr>
            <w:hyperlink w:history="1" r:id="rIdhjpaejauasio3tswrmcpe">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系统治疗竞品；Cibinqo</w:t>
            </w:r>
          </w:p>
          <w:p>
            <w:pPr>
              <w:spacing w:after="0" w:before="0" w:line="320"/>
            </w:pPr>
            <w:r>
              <w:rPr>
                <w:rFonts w:ascii="Microsoft YaHei UI" w:cs="Microsoft YaHei UI" w:eastAsia="Microsoft YaHei UI" w:hAnsi="Microsoft YaHei UI"/>
                <w:color w:val="152625"/>
                <w:sz w:val="20"/>
                <w:szCs w:val="20"/>
              </w:rPr>
              <w:t xml:space="preserve">中重度 AD 系统治疗；建议查看研究设计、入排标准和终点，判断对爱宁达或同机制竞品监测的影响。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一项名为 Abrocitinib 的药物治疗 6 岁至 12 岁以下中度至重度湿疹儿童的研究</w:t>
            </w:r>
          </w:p>
          <w:p>
            <w:pPr>
              <w:spacing w:after="0" w:before="0" w:line="320"/>
            </w:pPr>
            <w:r>
              <w:rPr>
                <w:rFonts w:ascii="Microsoft YaHei UI" w:cs="Microsoft YaHei UI" w:eastAsia="Microsoft YaHei UI" w:hAnsi="Microsoft YaHei UI"/>
                <w:color w:val="5F706E"/>
                <w:sz w:val="20"/>
                <w:szCs w:val="20"/>
              </w:rPr>
              <w:t xml:space="preserve">ClinicalTrials.gov 研究：一项名为 Abrocitinib 的药物治疗 6 岁至 12 岁以下中度至重度湿疹儿童的研究；NCT：NCT06807268；状态：招募中；阶段：3期；适应症/疾病：Eczema；首次发布：2025-02-04；最近更新：2026-08-17。</w:t>
            </w:r>
          </w:p>
          <w:p>
            <w:pPr>
              <w:spacing w:after="0" w:before="80"/>
            </w:pPr>
            <w:hyperlink w:history="1" r:id="rIdrgnkmm5nrlmez-qb5ktim">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系统治疗竞品；Cibinqo</w:t>
            </w:r>
          </w:p>
          <w:p>
            <w:pPr>
              <w:spacing w:after="0" w:before="0" w:line="320"/>
            </w:pPr>
            <w:r>
              <w:rPr>
                <w:rFonts w:ascii="Microsoft YaHei UI" w:cs="Microsoft YaHei UI" w:eastAsia="Microsoft YaHei UI" w:hAnsi="Microsoft YaHei UI"/>
                <w:color w:val="152625"/>
                <w:sz w:val="20"/>
                <w:szCs w:val="20"/>
              </w:rPr>
              <w:t xml:space="preserve">中重度 AD 系统治疗；建议查看研究设计、入排标准和终点，判断对爱宁达或同机制竞品监测的影响。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马琳｜首都医科大学附属北京儿童医院</w:t>
            </w:r>
          </w:p>
          <w:p>
            <w:pPr>
              <w:spacing w:after="70" w:before="0" w:line="340"/>
            </w:pPr>
            <w:r>
              <w:rPr>
                <w:rFonts w:ascii="Microsoft YaHei UI" w:cs="Microsoft YaHei UI" w:eastAsia="Microsoft YaHei UI" w:hAnsi="Microsoft YaHei UI"/>
                <w:b/>
                <w:bCs/>
                <w:color w:val="152625"/>
                <w:sz w:val="22"/>
                <w:szCs w:val="22"/>
              </w:rPr>
              <w:t xml:space="preserve">儿童和青少年特应性皮炎和注意力缺陷/多动障碍合并症：流行病学、机制和临床管理。</w:t>
            </w:r>
          </w:p>
          <w:p>
            <w:pPr>
              <w:spacing w:after="0" w:before="0" w:line="320"/>
            </w:pPr>
            <w:r>
              <w:rPr>
                <w:rFonts w:ascii="Microsoft YaHei UI" w:cs="Microsoft YaHei UI" w:eastAsia="Microsoft YaHei UI" w:hAnsi="Microsoft YaHei UI"/>
                <w:color w:val="5F706E"/>
                <w:sz w:val="20"/>
                <w:szCs w:val="20"/>
              </w:rPr>
              <w:t xml:space="preserve">研究主题：儿童和青少年特应性皮炎和注意力缺陷/多动障碍合并症：流行病学、机制和临床管理。。摘要要点：特应性皮炎（AD）和注意力缺陷/多动障碍（ADHD）经常在儿童和青少年中同时发生，增加了疾病负担和临床复杂性。越来越多的证据表明，患有 AD 的儿童发生 ADHD 的风险较高，这种风险在早发、严重 AD 或严重睡眠障碍的儿童中尤其明显。推测其潜在机制涉及“炎症-瘙痒-神经行为”轴的失调。这篇叙述性综述综合了有关这种合并症的流行病学、潜在机制和临床管理的当前证据。我们建议主动筛查和积极控制皮肤炎症和瘙痒是打破这种恶性循环的关键。</w:t>
            </w:r>
          </w:p>
          <w:p>
            <w:pPr>
              <w:spacing w:after="0" w:before="80"/>
            </w:pPr>
            <w:hyperlink w:history="1" r:id="rIdzne4kisafrfp2kmjhgd4s">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2026-08-07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陈翔｜中南大学湘雅医院</w:t>
            </w:r>
          </w:p>
          <w:p>
            <w:pPr>
              <w:spacing w:after="70" w:before="0" w:line="340"/>
            </w:pPr>
            <w:r>
              <w:rPr>
                <w:rFonts w:ascii="Microsoft YaHei UI" w:cs="Microsoft YaHei UI" w:eastAsia="Microsoft YaHei UI" w:hAnsi="Microsoft YaHei UI"/>
                <w:b/>
                <w:bCs/>
                <w:color w:val="152625"/>
                <w:sz w:val="22"/>
                <w:szCs w:val="22"/>
              </w:rPr>
              <w:t xml:space="preserve">PU.1 通过 Dectin-1 信号传导促进中间单核细胞向 M1 巨噬细胞分化，从而驱动银屑病发病机制。</w:t>
            </w:r>
          </w:p>
          <w:p>
            <w:pPr>
              <w:spacing w:after="0" w:before="0" w:line="320"/>
            </w:pPr>
            <w:r>
              <w:rPr>
                <w:rFonts w:ascii="Microsoft YaHei UI" w:cs="Microsoft YaHei UI" w:eastAsia="Microsoft YaHei UI" w:hAnsi="Microsoft YaHei UI"/>
                <w:color w:val="5F706E"/>
                <w:sz w:val="20"/>
                <w:szCs w:val="20"/>
              </w:rPr>
              <w:t xml:space="preserve">研究主题：PU.1 通过 Dectin-1 信号传导促进中间单核细胞向 M1 巨噬细胞分化，从而驱动银屑病发病机制。。摘要要点：中间单核细胞 (IM) 的扩增和致病分化是银屑病发病机制中的关键事件，但人们对此知之甚少。在这里，我们将转录因子 PU.1（由 SPI1 编码）确定为驱动 IM 介导的银屑病炎症的主调节因子。外周血单核细胞的单细胞 RNA 测序和流式细胞术揭示了银屑病患者中 IM 的扩张，并发现 PU.1 是其特异性调节因子。小鼠中 Spi1 的骨髓特异性消融可改善咪喹莫特诱导的银屑病皮炎。从机制上讲，PU.1 通过转录上调 Dectin-1 促进 IM 分化为促炎性 M1 巨噬细胞，从而激活 SYK/NF-κB 通路。我们进一步发现临床阶段的溴结构域和末端外结构域抑制剂 NHWD-870 有效抑制 PU.1 的表达。口服 NHWD-870 通过破坏这种 PU.1 依赖性 IM 分化，在小鼠银屑病模型中显示出强大的功效。我们的研究结果将 PU.1 确立为银屑病的新治疗靶点，并提出 PU.1 的药物抑制代表了一种有前途的治疗策略。</w:t>
            </w:r>
          </w:p>
          <w:p>
            <w:pPr>
              <w:spacing w:after="0" w:before="80"/>
            </w:pPr>
            <w:hyperlink w:history="1" r:id="rIdstkrulotx6edc4ka0qtck">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鲁索替尼磷酸盐 / ruxolitinib phosphate / C17H21N6O4P（29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乌帕替尼 / upadacitinib / C17H19F3N6O（28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度普利尤单抗 / dupilumab / 不适用：抗体/融合蛋白/大分子药物，分子量和糖基化等取决于序列与生产工艺（28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巴瑞替尼 / baricitinib / C16H17N7O2S（22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阿布昔替尼 / abrocitinib / C14H21N5O2S（15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来布奇珠单抗 / lebrikizumab / 不适用：抗体/融合蛋白/大分子药物，分子量和糖基化等取决于序列与生产工艺（13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罗氟司特 / roflumilast / C17H14Cl2F2N2O3（10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曲洛利单抗 / tralokinumab / 不适用：抗体/融合蛋白/大分子药物，分子量和糖基化等取决于序列与生产工艺（9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德戈替尼 / delgocitinib / C16H18N6O（8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奈莫利珠单抗 / nemolizumab / 不适用：抗体/融合蛋白/大分子药物，分子量和糖基化等取决于序列与生产工艺（8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严格排除滴眼液、移植等非皮肤外用剂型</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单独比较外用非激素、外用 JAK 和系统治疗</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更新轻中度 AD、敏感部位和长期管理的沟通要点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爱宁达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rtzcazzgh8x0dnkxsunr" Type="http://schemas.openxmlformats.org/officeDocument/2006/relationships/hyperlink" Target="https://clinicaltrials.gov/study/NCT07762833" TargetMode="External"/><Relationship Id="rIdxabwvu87gidt5q617j-xh" Type="http://schemas.openxmlformats.org/officeDocument/2006/relationships/hyperlink" Target="https://clinicaltrials.gov/study/NCT06241118" TargetMode="External"/><Relationship Id="rIdiwdudhlboq4qaxdifrjzl" Type="http://schemas.openxmlformats.org/officeDocument/2006/relationships/hyperlink" Target="https://clinicaltrials.gov/study/NCT07265479" TargetMode="External"/><Relationship Id="rIdaeks78hovu5h8hfxtxrbp" Type="http://schemas.openxmlformats.org/officeDocument/2006/relationships/hyperlink" Target="https://clinicaltrials.gov/study/NCT05981118" TargetMode="External"/><Relationship Id="rIdd9o3m5jby4y2x7veg1_g3" Type="http://schemas.openxmlformats.org/officeDocument/2006/relationships/hyperlink" Target="https://clinicaltrials.gov/study/NCT05763082" TargetMode="External"/><Relationship Id="rIda0ruprvysmrp6kytz8her" Type="http://schemas.openxmlformats.org/officeDocument/2006/relationships/hyperlink" Target="https://clinicaltrials.gov/study/NCT05355818" TargetMode="External"/><Relationship Id="rIdhjpaejauasio3tswrmcpe" Type="http://schemas.openxmlformats.org/officeDocument/2006/relationships/hyperlink" Target="https://clinicaltrials.gov/study/NCT06807281" TargetMode="External"/><Relationship Id="rIdrgnkmm5nrlmez-qb5ktim" Type="http://schemas.openxmlformats.org/officeDocument/2006/relationships/hyperlink" Target="https://clinicaltrials.gov/study/NCT06807268" TargetMode="External"/><Relationship Id="rIdzne4kisafrfp2kmjhgd4s" Type="http://schemas.openxmlformats.org/officeDocument/2006/relationships/hyperlink" Target="https://pubmed.ncbi.nlm.nih.gov/42668711/" TargetMode="External"/><Relationship Id="rIdstkrulotx6edc4ka0qtck" Type="http://schemas.openxmlformats.org/officeDocument/2006/relationships/hyperlink" Target="https://pubmed.ncbi.nlm.nih.gov/42567047/"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2026年8月爱宁达关注报告</dc:title>
  <dc:creator>Codex</dc:creator>
  <cp:lastModifiedBy>Un-named</cp:lastModifiedBy>
  <cp:revision>1</cp:revision>
  <dcterms:created xsi:type="dcterms:W3CDTF">2026-09-08T04:16:23.171Z</dcterms:created>
  <dcterms:modified xsi:type="dcterms:W3CDTF">2026-09-08T04:16:23.171Z</dcterms:modified>
</cp:coreProperties>
</file>

<file path=docProps/custom.xml><?xml version="1.0" encoding="utf-8"?>
<Properties xmlns="http://schemas.openxmlformats.org/officeDocument/2006/custom-properties" xmlns:vt="http://schemas.openxmlformats.org/officeDocument/2006/docPropsVTypes"/>
</file>