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before="0" w:line="340"/>
      </w:pPr>
      <w:r>
        <w:rPr>
          <w:rFonts w:ascii="Microsoft YaHei UI" w:cs="Microsoft YaHei UI" w:eastAsia="Microsoft YaHei UI" w:hAnsi="Microsoft YaHei UI"/>
          <w:b/>
          <w:bCs/>
          <w:color w:val="147D73"/>
          <w:sz w:val="20"/>
          <w:szCs w:val="20"/>
        </w:rPr>
        <w:t xml:space="preserve">MONTHLY PRODUCT INTELLIGENCE</w:t>
      </w:r>
    </w:p>
    <w:p>
      <w:pPr>
        <w:spacing w:after="120" w:before="0" w:line="340"/>
      </w:pPr>
      <w:r>
        <w:rPr>
          <w:rFonts w:ascii="Microsoft YaHei UI" w:cs="Microsoft YaHei UI" w:eastAsia="Microsoft YaHei UI" w:hAnsi="Microsoft YaHei UI"/>
          <w:b/>
          <w:bCs/>
          <w:color w:val="0B5C55"/>
          <w:sz w:val="40"/>
          <w:szCs w:val="40"/>
        </w:rPr>
        <w:t xml:space="preserve">立普妥｜2026年8月关注报告</w:t>
      </w:r>
    </w:p>
    <w:p>
      <w:pPr>
        <w:spacing w:after="360" w:before="0" w:line="340"/>
      </w:pPr>
      <w:r>
        <w:rPr>
          <w:rFonts w:ascii="Microsoft YaHei UI" w:cs="Microsoft YaHei UI" w:eastAsia="Microsoft YaHei UI" w:hAnsi="Microsoft YaHei UI"/>
          <w:color w:val="5F706E"/>
          <w:sz w:val="22"/>
          <w:szCs w:val="22"/>
        </w:rPr>
        <w:t xml:space="preserve">2026-08-01 至 2026-08-31</w:t>
      </w:r>
    </w:p>
    <w:tbl>
      <w:tblPr>
        <w:tblW w:type="dxa" w:w="10000"/>
        <w:tblBorders>
          <w:top w:val="none"/>
          <w:left w:val="none"/>
          <w:bottom w:val="none"/>
          <w:right w:val="none"/>
          <w:insideH w:val="none"/>
          <w:insideV w:val="single" w:color="FFFFFF" w:sz="8"/>
        </w:tblBorders>
      </w:tblPr>
      <w:tblGrid>
        <w:gridCol w:w="2000"/>
        <w:gridCol w:w="2000"/>
        <w:gridCol w:w="2000"/>
        <w:gridCol w:w="2000"/>
        <w:gridCol w:w="2000"/>
      </w:tblGrid>
      <w:tr>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161</w:t>
            </w:r>
          </w:p>
          <w:p>
            <w:pPr>
              <w:spacing w:after="0" w:before="0" w:line="340"/>
              <w:jc w:val="center"/>
            </w:pPr>
            <w:r>
              <w:rPr>
                <w:rFonts w:ascii="Microsoft YaHei UI" w:cs="Microsoft YaHei UI" w:eastAsia="Microsoft YaHei UI" w:hAnsi="Microsoft YaHei UI"/>
                <w:color w:val="5F706E"/>
                <w:sz w:val="19"/>
                <w:szCs w:val="19"/>
              </w:rPr>
              <w:t xml:space="preserve">有效进展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82</w:t>
            </w:r>
          </w:p>
          <w:p>
            <w:pPr>
              <w:spacing w:after="0" w:before="0" w:line="340"/>
              <w:jc w:val="center"/>
            </w:pPr>
            <w:r>
              <w:rPr>
                <w:rFonts w:ascii="Microsoft YaHei UI" w:cs="Microsoft YaHei UI" w:eastAsia="Microsoft YaHei UI" w:hAnsi="Microsoft YaHei UI"/>
                <w:color w:val="5F706E"/>
                <w:sz w:val="19"/>
                <w:szCs w:val="19"/>
              </w:rPr>
              <w:t xml:space="preserve">建议跟进</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32</w:t>
            </w:r>
          </w:p>
          <w:p>
            <w:pPr>
              <w:spacing w:after="0" w:before="0" w:line="340"/>
              <w:jc w:val="center"/>
            </w:pPr>
            <w:r>
              <w:rPr>
                <w:rFonts w:ascii="Microsoft YaHei UI" w:cs="Microsoft YaHei UI" w:eastAsia="Microsoft YaHei UI" w:hAnsi="Microsoft YaHei UI"/>
                <w:color w:val="5F706E"/>
                <w:sz w:val="19"/>
                <w:szCs w:val="19"/>
              </w:rPr>
              <w:t xml:space="preserve">高证据</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13</w:t>
            </w:r>
          </w:p>
          <w:p>
            <w:pPr>
              <w:spacing w:after="0" w:before="0" w:line="340"/>
              <w:jc w:val="center"/>
            </w:pPr>
            <w:r>
              <w:rPr>
                <w:rFonts w:ascii="Microsoft YaHei UI" w:cs="Microsoft YaHei UI" w:eastAsia="Microsoft YaHei UI" w:hAnsi="Microsoft YaHei UI"/>
                <w:color w:val="5F706E"/>
                <w:sz w:val="19"/>
                <w:szCs w:val="19"/>
              </w:rPr>
              <w:t xml:space="preserve">KOL记录</w:t>
            </w:r>
          </w:p>
        </w:tc>
        <w:tc>
          <w:tcPr>
            <w:tcW w:type="dxa" w:w="2000"/>
            <w:shd w:fill="EAF5F2" w:val="clear"/>
            <w:tcMar>
              <w:top w:type="dxa" w:w="150"/>
              <w:left w:type="dxa" w:w="170"/>
              <w:bottom w:type="dxa" w:w="150"/>
              <w:right w:type="dxa" w:w="170"/>
            </w:tcMar>
            <w:vAlign w:val="center"/>
          </w:tcPr>
          <w:p>
            <w:pPr>
              <w:spacing w:after="40" w:before="0" w:line="340"/>
              <w:jc w:val="center"/>
            </w:pPr>
            <w:r>
              <w:rPr>
                <w:rFonts w:ascii="Microsoft YaHei UI" w:cs="Microsoft YaHei UI" w:eastAsia="Microsoft YaHei UI" w:hAnsi="Microsoft YaHei UI"/>
                <w:b/>
                <w:bCs/>
                <w:color w:val="0B5C55"/>
                <w:sz w:val="34"/>
                <w:szCs w:val="34"/>
              </w:rPr>
              <w:t xml:space="preserve">9</w:t>
            </w:r>
          </w:p>
          <w:p>
            <w:pPr>
              <w:spacing w:after="0" w:before="0" w:line="340"/>
              <w:jc w:val="center"/>
            </w:pPr>
            <w:r>
              <w:rPr>
                <w:rFonts w:ascii="Microsoft YaHei UI" w:cs="Microsoft YaHei UI" w:eastAsia="Microsoft YaHei UI" w:hAnsi="Microsoft YaHei UI"/>
                <w:color w:val="5F706E"/>
                <w:sz w:val="19"/>
                <w:szCs w:val="19"/>
              </w:rPr>
              <w:t xml:space="preserve">涉及专家</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管理层摘要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750"/>
        <w:gridCol w:w="8250"/>
      </w:tblGrid>
      <w:tr>
        <w:tc>
          <w:tcPr>
            <w:tcW w:type="dxa" w:w="1750"/>
            <w:shd w:fill="DDF1EC"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一句话结论</w:t>
            </w:r>
          </w:p>
        </w:tc>
        <w:tc>
          <w:tcPr>
            <w:tcW w:type="dxa" w:w="8250"/>
            <w:shd w:fill="F2FAF8"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2026年8月立普妥最值得注意的是：降脂竞争继续从他汀同类比较延伸到 PCSK9、长效给药和联合强化治疗。</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发生了什么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本月纳入 161 条有效产品/竞品进展，其中 82 条建议跟进、32 条为高证据。优先记录包括《Lerodalcibep 对患有家族性高胆固醇血症的儿童和青少年的长期疗效和安全性》、《评估 AZD0780 对血脂异常参与者的疗效、安全性和药代动力学的研究》。</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关注什么</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优先查看本品/同成分；立普妥及阿托伐他汀仿制药、直接竞品；舒降之/Zocor、PCSK9 竞品；Repatha、直接竞品；可定/Crestor，并把同一研究在不同检索路径下的重复命中合并判断。</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为什么关注</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这些进展会改变高危患者的降脂路径，也会影响立普妥在高强度他汀、联合用药和依从性场景中的医学沟通。</w:t>
            </w:r>
          </w:p>
        </w:tc>
      </w:tr>
      <w:tr>
        <w:tc>
          <w:tcPr>
            <w:tcW w:type="dxa" w:w="1750"/>
            <w:shd w:fill="F5F8F7"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0B5C55"/>
                <w:sz w:val="22"/>
                <w:szCs w:val="22"/>
              </w:rPr>
              <w:t xml:space="preserve">建议动作</w:t>
            </w:r>
          </w:p>
        </w:tc>
        <w:tc>
          <w:tcPr>
            <w:tcW w:type="dxa" w:w="8250"/>
            <w:shd w:fill="FFFFFF" w:val="clear"/>
            <w:tcMar>
              <w:top w:type="dxa" w:w="150"/>
              <w:left w:type="dxa" w:w="170"/>
              <w:bottom w:type="dxa" w:w="150"/>
              <w:right w:type="dxa" w:w="170"/>
            </w:tcMar>
            <w:vAlign w:val="center"/>
          </w:tcPr>
          <w:p>
            <w:pPr>
              <w:spacing w:after="0" w:before="0" w:line="370"/>
            </w:pPr>
            <w:r>
              <w:rPr>
                <w:rFonts w:ascii="Microsoft YaHei UI" w:cs="Microsoft YaHei UI" w:eastAsia="Microsoft YaHei UI" w:hAnsi="Microsoft YaHei UI"/>
                <w:color w:val="152625"/>
                <w:sz w:val="23"/>
                <w:szCs w:val="23"/>
              </w:rPr>
              <w:t xml:space="preserve">建立 PCSK9、口服 PCSK9 和联合降脂方案追踪表；逐条核对高证据研究的人群、终点和安全性；更新立普妥在高强度降脂与联合治疗中的沟通要点。</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本月重点更新</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5400"/>
        <w:gridCol w:w="3150"/>
      </w:tblGrid>
      <w:tr>
        <w:trPr>
          <w:tblHeader/>
        </w:trPr>
        <w:tc>
          <w:tcPr>
            <w:tcW w:type="dxa" w:w="14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日期 / 来源</w:t>
            </w:r>
          </w:p>
        </w:tc>
        <w:tc>
          <w:tcPr>
            <w:tcW w:type="dxa" w:w="540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研究或事件</w:t>
            </w:r>
          </w:p>
        </w:tc>
        <w:tc>
          <w:tcPr>
            <w:tcW w:type="dxa" w:w="3150"/>
            <w:shd w:fill="0B5C55" w:val="clear"/>
            <w:tcMar>
              <w:top w:type="dxa" w:w="150"/>
              <w:left w:type="dxa" w:w="170"/>
              <w:bottom w:type="dxa" w:w="150"/>
              <w:right w:type="dxa" w:w="170"/>
            </w:tcMar>
            <w:vAlign w:val="center"/>
          </w:tcPr>
          <w:p>
            <w:pPr>
              <w:spacing w:after="0" w:before="0" w:line="340"/>
            </w:pPr>
            <w:r>
              <w:rPr>
                <w:rFonts w:ascii="Microsoft YaHei UI" w:cs="Microsoft YaHei UI" w:eastAsia="Microsoft YaHei UI" w:hAnsi="Microsoft YaHei UI"/>
                <w:b/>
                <w:bCs/>
                <w:color w:val="FFFFFF"/>
                <w:sz w:val="22"/>
                <w:szCs w:val="22"/>
              </w:rPr>
              <w:t xml:space="preserve">判断与动作</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2026-08-20</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Lerodalcibep 对患有家族性高胆固醇血症的儿童和青少年的长期疗效和安全性</w:t>
            </w:r>
          </w:p>
          <w:p>
            <w:pPr>
              <w:spacing w:after="0" w:before="0" w:line="320"/>
            </w:pPr>
            <w:r>
              <w:rPr>
                <w:rFonts w:ascii="Microsoft YaHei UI" w:cs="Microsoft YaHei UI" w:eastAsia="Microsoft YaHei UI" w:hAnsi="Microsoft YaHei UI"/>
                <w:color w:val="5F706E"/>
                <w:sz w:val="20"/>
                <w:szCs w:val="20"/>
              </w:rPr>
              <w:t xml:space="preserve">ClinicalTrials.gov 研究：Lerodalcibep 对患有家族性高胆固醇血症的儿童和青少年的长期疗效和安全性；NCT：NCT07775339；状态：尚未招募；阶段：3期；适应症/疾病：杂合子家族性高胆固醇血症 (HeFH)；首次发布：2026-08-20；最近更新：2026-08-25。</w:t>
            </w:r>
          </w:p>
          <w:p>
            <w:pPr>
              <w:spacing w:after="0" w:before="80"/>
            </w:pPr>
            <w:hyperlink w:history="1" r:id="rIdw6pz2ubamp_nraezufi6y">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竞品；Lerodalcibep</w:t>
            </w:r>
          </w:p>
          <w:p>
            <w:pPr>
              <w:spacing w:after="0" w:before="0" w:line="320"/>
            </w:pPr>
            <w:r>
              <w:rPr>
                <w:rFonts w:ascii="Microsoft YaHei UI" w:cs="Microsoft YaHei UI" w:eastAsia="Microsoft YaHei UI" w:hAnsi="Microsoft YaHei UI"/>
                <w:color w:val="152625"/>
                <w:sz w:val="20"/>
                <w:szCs w:val="20"/>
              </w:rPr>
              <w:t xml:space="preserve">长效 PCSK9 融合蛋白竞争；建议查看研究设计、入排标准和终点，判断对立普妥或同机制竞品监测的影响。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2026-08-26</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评估 AZD0780 对血脂异常参与者的疗效、安全性和药代动力学的研究</w:t>
            </w:r>
          </w:p>
          <w:p>
            <w:pPr>
              <w:spacing w:after="0" w:before="0" w:line="320"/>
            </w:pPr>
            <w:r>
              <w:rPr>
                <w:rFonts w:ascii="Microsoft YaHei UI" w:cs="Microsoft YaHei UI" w:eastAsia="Microsoft YaHei UI" w:hAnsi="Microsoft YaHei UI"/>
                <w:color w:val="5F706E"/>
                <w:sz w:val="20"/>
                <w:szCs w:val="20"/>
              </w:rPr>
              <w:t xml:space="preserve">ClinicalTrials.gov 研究：评估 AZD0780 对血脂异常参与者的疗效、安全性和药代动力学的研究；NCT：NCT06834932；状态：活跃，已停止招募；阶段：2期；3期；适应症/疾病：血脂异常；首次发布：2025-02-19；最近更新：2026-08-26。</w:t>
            </w:r>
          </w:p>
          <w:p>
            <w:pPr>
              <w:spacing w:after="0" w:before="80"/>
            </w:pPr>
            <w:hyperlink w:history="1" r:id="rIdxcmpoeijajsew3y5ejz7g">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直接竞品；可定/Crestor</w:t>
            </w:r>
          </w:p>
          <w:p>
            <w:pPr>
              <w:spacing w:after="0" w:before="0" w:line="320"/>
            </w:pPr>
            <w:r>
              <w:rPr>
                <w:rFonts w:ascii="Microsoft YaHei UI" w:cs="Microsoft YaHei UI" w:eastAsia="Microsoft YaHei UI" w:hAnsi="Microsoft YaHei UI"/>
                <w:color w:val="152625"/>
                <w:sz w:val="20"/>
                <w:szCs w:val="20"/>
              </w:rPr>
              <w:t xml:space="preserve">高强度他汀核心替代；建议查看研究设计、入排标准和终点，判断对立普妥或同机制竞品监测的影响。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Bempedoic Acid/依折麦布/高强度他汀类药物治疗无心血管事件患者的研究</w:t>
            </w:r>
          </w:p>
          <w:p>
            <w:pPr>
              <w:spacing w:after="0" w:before="0" w:line="320"/>
            </w:pPr>
            <w:r>
              <w:rPr>
                <w:rFonts w:ascii="Microsoft YaHei UI" w:cs="Microsoft YaHei UI" w:eastAsia="Microsoft YaHei UI" w:hAnsi="Microsoft YaHei UI"/>
                <w:color w:val="5F706E"/>
                <w:sz w:val="20"/>
                <w:szCs w:val="20"/>
              </w:rPr>
              <w:t xml:space="preserve">ClinicalTrials.gov 研究：Bempedoic Acid/依折麦布/高强度他汀类药物治疗无心血管事件患者的研究；NCT：NCT07474649；状态：尚未招募；阶段：3期；适应症/疾病：冠状动脉粥样硬化；混合性血脂异常；高胆固醇血症；首次发布：2026-03-16；最近更新：2026-08-07。</w:t>
            </w:r>
          </w:p>
          <w:p>
            <w:pPr>
              <w:spacing w:after="0" w:before="80"/>
            </w:pPr>
            <w:hyperlink w:history="1" r:id="rIdwv7lzvcqwx6kftrf5oa3b">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本品/同成分；立普妥及阿托伐他汀仿制药</w:t>
            </w:r>
          </w:p>
          <w:p>
            <w:pPr>
              <w:spacing w:after="0" w:before="0" w:line="320"/>
            </w:pPr>
            <w:r>
              <w:rPr>
                <w:rFonts w:ascii="Microsoft YaHei UI" w:cs="Microsoft YaHei UI" w:eastAsia="Microsoft YaHei UI" w:hAnsi="Microsoft YaHei UI"/>
                <w:color w:val="152625"/>
                <w:sz w:val="20"/>
                <w:szCs w:val="20"/>
              </w:rPr>
              <w:t xml:space="preserve">同成分价格与一致性评价竞争；建议查看研究设计、入排标准和终点，判断对立普妥或同机制竞品监测的影响。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2026-08-28</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Inclisiran 与安慰剂比较，用于预防接受经皮冠状动脉介入治疗或外周血管内介入治疗的患者的主要不良心血管和肢体事件</w:t>
            </w:r>
          </w:p>
          <w:p>
            <w:pPr>
              <w:spacing w:after="0" w:before="0" w:line="320"/>
            </w:pPr>
            <w:r>
              <w:rPr>
                <w:rFonts w:ascii="Microsoft YaHei UI" w:cs="Microsoft YaHei UI" w:eastAsia="Microsoft YaHei UI" w:hAnsi="Microsoft YaHei UI"/>
                <w:color w:val="5F706E"/>
                <w:sz w:val="20"/>
                <w:szCs w:val="20"/>
              </w:rPr>
              <w:t xml:space="preserve">ClinicalTrials.gov 研究：Inclisiran 与安慰剂比较，用于预防接受经皮冠状动脉介入治疗或外周血管内介入治疗的患者的主要不良心血管和肢体事件；NCT：NCT06909565；状态：招募中；阶段：4期；适应症/疾病：经皮冠状动脉介入治疗；周围血管腔内介入治疗；首次发布：2025-04-03；最近更新：2026-08-28。</w:t>
            </w:r>
          </w:p>
          <w:p>
            <w:pPr>
              <w:spacing w:after="0" w:before="80"/>
            </w:pPr>
            <w:hyperlink w:history="1" r:id="rIdwnteaxq5ktjns4v62nbx9">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竞品；Leqvio</w:t>
            </w:r>
          </w:p>
          <w:p>
            <w:pPr>
              <w:spacing w:after="0" w:before="0" w:line="320"/>
            </w:pPr>
            <w:r>
              <w:rPr>
                <w:rFonts w:ascii="Microsoft YaHei UI" w:cs="Microsoft YaHei UI" w:eastAsia="Microsoft YaHei UI" w:hAnsi="Microsoft YaHei UI"/>
                <w:color w:val="152625"/>
                <w:sz w:val="20"/>
                <w:szCs w:val="20"/>
              </w:rPr>
              <w:t xml:space="preserve">半年一次给药的依从性差异化；建议查看研究设计、入排标准和终点，判断对立普妥或同机制竞品监测的影响。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2026-08-25</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Inclisiran 预防患有心血管疾病的参与者发生心血管 (CV) 事件的研究</w:t>
            </w:r>
          </w:p>
          <w:p>
            <w:pPr>
              <w:spacing w:after="0" w:before="0" w:line="320"/>
            </w:pPr>
            <w:r>
              <w:rPr>
                <w:rFonts w:ascii="Microsoft YaHei UI" w:cs="Microsoft YaHei UI" w:eastAsia="Microsoft YaHei UI" w:hAnsi="Microsoft YaHei UI"/>
                <w:color w:val="5F706E"/>
                <w:sz w:val="20"/>
                <w:szCs w:val="20"/>
              </w:rPr>
              <w:t xml:space="preserve">ClinicalTrials.gov 研究：Inclisiran 预防患有心血管疾病的参与者发生心血管 (CV) 事件的研究；NCT：NCT05030428；状态：活跃，已停止招募；阶段：3期；适应症/疾病：动脉粥样硬化性心血管疾病；首次发布：2021-09-01；最近更新：2026-08-25。</w:t>
            </w:r>
          </w:p>
          <w:p>
            <w:pPr>
              <w:spacing w:after="0" w:before="80"/>
            </w:pPr>
            <w:hyperlink w:history="1" r:id="rIdfs4rvcg3gxkkadfn8jrll">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竞品；Leqvio</w:t>
            </w:r>
          </w:p>
          <w:p>
            <w:pPr>
              <w:spacing w:after="0" w:before="0" w:line="320"/>
            </w:pPr>
            <w:r>
              <w:rPr>
                <w:rFonts w:ascii="Microsoft YaHei UI" w:cs="Microsoft YaHei UI" w:eastAsia="Microsoft YaHei UI" w:hAnsi="Microsoft YaHei UI"/>
                <w:color w:val="152625"/>
                <w:sz w:val="20"/>
                <w:szCs w:val="20"/>
              </w:rPr>
              <w:t xml:space="preserve">半年一次给药的依从性差异化；建议查看研究设计、入排标准和终点，判断对立普妥或同机制竞品监测的影响。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2026-08-24</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PCSK9 抑制对 HIV 感染治疗者心血管风险的影响（EPIC-HIV 研究）</w:t>
            </w:r>
          </w:p>
          <w:p>
            <w:pPr>
              <w:spacing w:after="0" w:before="0" w:line="320"/>
            </w:pPr>
            <w:r>
              <w:rPr>
                <w:rFonts w:ascii="Microsoft YaHei UI" w:cs="Microsoft YaHei UI" w:eastAsia="Microsoft YaHei UI" w:hAnsi="Microsoft YaHei UI"/>
                <w:color w:val="5F706E"/>
                <w:sz w:val="20"/>
                <w:szCs w:val="20"/>
              </w:rPr>
              <w:t xml:space="preserve">ClinicalTrials.gov 研究：PCSK9 抑制对 HIV 感染治疗者心血管风险的影响（EPIC-HIV 研究）；NCT：NCT03207945；状态：已完成；阶段：3期；适应症/疾病：血脂异常；心血管疾病；HIV感染；首次发布：2017-07-05；最近更新：2026-08-24。</w:t>
            </w:r>
          </w:p>
          <w:p>
            <w:pPr>
              <w:spacing w:after="0" w:before="80"/>
            </w:pPr>
            <w:hyperlink w:history="1" r:id="rId31weryyivoan9xjdhkwck">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竞品；Praluent</w:t>
            </w:r>
          </w:p>
          <w:p>
            <w:pPr>
              <w:spacing w:after="0" w:before="0" w:line="320"/>
            </w:pPr>
            <w:r>
              <w:rPr>
                <w:rFonts w:ascii="Microsoft YaHei UI" w:cs="Microsoft YaHei UI" w:eastAsia="Microsoft YaHei UI" w:hAnsi="Microsoft YaHei UI"/>
                <w:color w:val="152625"/>
                <w:sz w:val="20"/>
                <w:szCs w:val="20"/>
              </w:rPr>
              <w:t xml:space="preserve">强效 LDL-C 降低，挤压高危人群他汀单药空间；建议查看研究设计、入排标准和终点，判断对立普妥或同机制竞品监测的影响。</w:t>
            </w:r>
          </w:p>
        </w:tc>
      </w:tr>
      <w:tr>
        <w:trPr>
          <w:cantSplit/>
        </w:trPr>
        <w:tc>
          <w:tcPr>
            <w:tcW w:type="dxa" w:w="1450"/>
            <w:shd w:fill="FFFFFF"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2026-08-21</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Enlicitide 癸酸（MK-0616，一种口服 PCSK9 抑制剂）对患有杂合子家族性高胆固醇血症的儿童和青少年 (MK-0616-029) 的研究</w:t>
            </w:r>
          </w:p>
          <w:p>
            <w:pPr>
              <w:spacing w:after="0" w:before="0" w:line="320"/>
            </w:pPr>
            <w:r>
              <w:rPr>
                <w:rFonts w:ascii="Microsoft YaHei UI" w:cs="Microsoft YaHei UI" w:eastAsia="Microsoft YaHei UI" w:hAnsi="Microsoft YaHei UI"/>
                <w:color w:val="5F706E"/>
                <w:sz w:val="20"/>
                <w:szCs w:val="20"/>
              </w:rPr>
              <w:t xml:space="preserve">ClinicalTrials.gov 研究：Enlicitide 癸酸（MK-0616，一种口服 PCSK9 抑制剂）对患有杂合子家族性高胆固醇血症的儿童和青少年 (MK-0616-029) 的研究；NCT：NCT07058077；状态：招募中；阶段：2期；3期；适应症/疾病：杂合子家族性高胆固醇血症 (HeFH)；首次发布：2025-07-10；最近更新：2026-08-21。</w:t>
            </w:r>
          </w:p>
          <w:p>
            <w:pPr>
              <w:spacing w:after="0" w:before="80"/>
            </w:pPr>
            <w:hyperlink w:history="1" r:id="rId8hznxutwawp2qsiebw2gd">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FFFFF"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潜在竞品；Enlicitide/MK-0616</w:t>
            </w:r>
          </w:p>
          <w:p>
            <w:pPr>
              <w:spacing w:after="0" w:before="0" w:line="320"/>
            </w:pPr>
            <w:r>
              <w:rPr>
                <w:rFonts w:ascii="Microsoft YaHei UI" w:cs="Microsoft YaHei UI" w:eastAsia="Microsoft YaHei UI" w:hAnsi="Microsoft YaHei UI"/>
                <w:color w:val="152625"/>
                <w:sz w:val="20"/>
                <w:szCs w:val="20"/>
              </w:rPr>
              <w:t xml:space="preserve">潜在口服 PCSK9，若成功会改变降脂治疗路径；建议查看研究设计、入排标准和终点，判断对立普妥或同机制竞品监测的影响。</w:t>
            </w:r>
          </w:p>
        </w:tc>
      </w:tr>
      <w:tr>
        <w:trPr>
          <w:cantSplit/>
        </w:trPr>
        <w:tc>
          <w:tcPr>
            <w:tcW w:type="dxa" w:w="1450"/>
            <w:shd w:fill="F5F8F7" w:val="clear"/>
            <w:tcMar>
              <w:top w:type="dxa" w:w="150"/>
              <w:left w:type="dxa" w:w="170"/>
              <w:bottom w:type="dxa" w:w="150"/>
              <w:right w:type="dxa" w:w="170"/>
            </w:tcMar>
            <w:vAlign w:val="center"/>
          </w:tcPr>
          <w:p>
            <w:pPr>
              <w:spacing w:after="60" w:before="0" w:line="340"/>
            </w:pPr>
            <w:r>
              <w:rPr>
                <w:rFonts w:ascii="Microsoft YaHei UI" w:cs="Microsoft YaHei UI" w:eastAsia="Microsoft YaHei UI" w:hAnsi="Microsoft YaHei UI"/>
                <w:b/>
                <w:bCs/>
                <w:color w:val="152625"/>
                <w:sz w:val="22"/>
                <w:szCs w:val="22"/>
              </w:rPr>
              <w:t xml:space="preserve">2026-08-07</w:t>
            </w:r>
          </w:p>
          <w:p>
            <w:pPr>
              <w:spacing w:after="60" w:before="0" w:line="340"/>
            </w:pPr>
            <w:r>
              <w:rPr>
                <w:rFonts w:ascii="Microsoft YaHei UI" w:cs="Microsoft YaHei UI" w:eastAsia="Microsoft YaHei UI" w:hAnsi="Microsoft YaHei UI"/>
                <w:color w:val="5F706E"/>
                <w:sz w:val="22"/>
                <w:szCs w:val="22"/>
              </w:rPr>
              <w:t xml:space="preserve">Clinical</w:t>
            </w:r>
          </w:p>
          <w:p>
            <w:pPr>
              <w:spacing w:after="0" w:before="0" w:line="340"/>
            </w:pPr>
            <w:r>
              <w:rPr>
                <w:rFonts w:ascii="Microsoft YaHei UI" w:cs="Microsoft YaHei UI" w:eastAsia="Microsoft YaHei UI" w:hAnsi="Microsoft YaHei UI"/>
                <w:color w:val="0B5C55"/>
                <w:sz w:val="18"/>
                <w:szCs w:val="18"/>
              </w:rPr>
              <w:t xml:space="preserve">高证据 / 建议跟进</w:t>
            </w:r>
          </w:p>
        </w:tc>
        <w:tc>
          <w:tcPr>
            <w:tcW w:type="dxa" w:w="540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152625"/>
                <w:sz w:val="22"/>
                <w:szCs w:val="22"/>
              </w:rPr>
              <w:t xml:space="preserve">Pelacarsen (TQJ230) 背景 Inclisiran 在 Lp(a) 升高和已确诊 ASCVD 参与者中的 Lp(a) 降低研究</w:t>
            </w:r>
          </w:p>
          <w:p>
            <w:pPr>
              <w:spacing w:after="0" w:before="0" w:line="320"/>
            </w:pPr>
            <w:r>
              <w:rPr>
                <w:rFonts w:ascii="Microsoft YaHei UI" w:cs="Microsoft YaHei UI" w:eastAsia="Microsoft YaHei UI" w:hAnsi="Microsoft YaHei UI"/>
                <w:color w:val="5F706E"/>
                <w:sz w:val="20"/>
                <w:szCs w:val="20"/>
              </w:rPr>
              <w:t xml:space="preserve">ClinicalTrials.gov 研究：Pelacarsen (TQJ230) 背景 Inclisiran 在 Lp(a) 升高和已确诊 ASCVD 参与者中的 Lp(a) 降低研究；NCT：NCT06813911；状态：招募中；阶段：3期；适应症/疾病：动脉粥样硬化性心血管疾病（ASCVD）；首次发布：2025-02-07；最近更新：2026-08-07。</w:t>
            </w:r>
          </w:p>
          <w:p>
            <w:pPr>
              <w:spacing w:after="0" w:before="80"/>
            </w:pPr>
            <w:hyperlink w:history="1" r:id="rIdd0ibelcvwlcobftzy01w3">
              <w:r>
                <w:rPr>
                  <w:rFonts w:ascii="Microsoft YaHei UI" w:cs="Microsoft YaHei UI" w:eastAsia="Microsoft YaHei UI" w:hAnsi="Microsoft YaHei UI"/>
                  <w:color w:val="1B6CA8"/>
                  <w:sz w:val="18"/>
                  <w:szCs w:val="18"/>
                  <w:u w:val="single"/>
                </w:rPr>
                <w:t xml:space="preserve">打开原始来源</w:t>
              </w:r>
            </w:hyperlink>
          </w:p>
        </w:tc>
        <w:tc>
          <w:tcPr>
            <w:tcW w:type="dxa" w:w="3150"/>
            <w:shd w:fill="F5F8F7" w:val="clear"/>
            <w:tcMar>
              <w:top w:type="dxa" w:w="150"/>
              <w:left w:type="dxa" w:w="170"/>
              <w:bottom w:type="dxa" w:w="150"/>
              <w:right w:type="dxa" w:w="170"/>
            </w:tcMar>
            <w:vAlign w:val="top"/>
          </w:tcPr>
          <w:p>
            <w:pPr>
              <w:spacing w:after="80" w:before="0" w:line="340"/>
            </w:pPr>
            <w:r>
              <w:rPr>
                <w:rFonts w:ascii="Microsoft YaHei UI" w:cs="Microsoft YaHei UI" w:eastAsia="Microsoft YaHei UI" w:hAnsi="Microsoft YaHei UI"/>
                <w:b/>
                <w:bCs/>
                <w:color w:val="0B5C55"/>
                <w:sz w:val="22"/>
                <w:szCs w:val="22"/>
              </w:rPr>
              <w:t xml:space="preserve">PCSK9 竞品；Leqvio</w:t>
            </w:r>
          </w:p>
          <w:p>
            <w:pPr>
              <w:spacing w:after="0" w:before="0" w:line="320"/>
            </w:pPr>
            <w:r>
              <w:rPr>
                <w:rFonts w:ascii="Microsoft YaHei UI" w:cs="Microsoft YaHei UI" w:eastAsia="Microsoft YaHei UI" w:hAnsi="Microsoft YaHei UI"/>
                <w:color w:val="152625"/>
                <w:sz w:val="20"/>
                <w:szCs w:val="20"/>
              </w:rPr>
              <w:t xml:space="preserve">半年一次给药的依从性差异化；建议查看研究设计、入排标准和终点，判断对立普妥或同机制竞品监测的影响。</w:t>
            </w:r>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KOL / 专家动态</w:t>
      </w:r>
    </w:p>
    <w:tbl>
      <w:tblPr>
        <w:tblW w:type="dxa" w:w="10000"/>
        <w:tblBorders>
          <w:top w:val="single" w:color="D6E2DF" w:sz="1"/>
          <w:left w:val="single" w:color="D6E2DF" w:sz="1"/>
          <w:bottom w:val="single" w:color="D6E2DF" w:sz="1"/>
          <w:right w:val="single" w:color="D6E2DF" w:sz="1"/>
          <w:insideH w:val="single" w:color="D6E2DF" w:sz="1"/>
          <w:insideV w:val="single" w:color="D6E2DF" w:sz="1"/>
        </w:tblBorders>
      </w:tblPr>
      <w:tblGrid>
        <w:gridCol w:w="1450"/>
        <w:gridCol w:w="8550"/>
      </w:tblGrid>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2026-08-30</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马长生｜首都医科大学附属北京安贞医院</w:t>
            </w:r>
          </w:p>
          <w:p>
            <w:pPr>
              <w:spacing w:after="70" w:before="0" w:line="340"/>
            </w:pPr>
            <w:r>
              <w:rPr>
                <w:rFonts w:ascii="Microsoft YaHei UI" w:cs="Microsoft YaHei UI" w:eastAsia="Microsoft YaHei UI" w:hAnsi="Microsoft YaHei UI"/>
                <w:b/>
                <w:bCs/>
                <w:color w:val="152625"/>
                <w:sz w:val="22"/>
                <w:szCs w:val="22"/>
              </w:rPr>
              <w:t xml:space="preserve">心房颤动的血栓栓塞和出血风险：导管消融后口服抗凝药的结果。</w:t>
            </w:r>
          </w:p>
          <w:p>
            <w:pPr>
              <w:spacing w:after="0" w:before="0" w:line="320"/>
            </w:pPr>
            <w:r>
              <w:rPr>
                <w:rFonts w:ascii="Microsoft YaHei UI" w:cs="Microsoft YaHei UI" w:eastAsia="Microsoft YaHei UI" w:hAnsi="Microsoft YaHei UI"/>
                <w:color w:val="5F706E"/>
                <w:sz w:val="20"/>
                <w:szCs w:val="20"/>
              </w:rPr>
              <w:t xml:space="preserve">研究主题：心房颤动的血栓栓塞和出血风险：导管消融后口服抗凝药的结果。。摘要要点：背景：尽管越来越多地使用导管消融治疗心房颤动，但评估消融后口服抗凝（OAC）的有效性和安全性的大规模研究，特别是对于卒中风险高的患者，仍然有限。方法：这项前瞻性研究连续招募了 2011 年 8 月至 2022 年 6 月期间来自 China-AF（中国心房颤动）登记的患者。根据 CHA2DS2-VA 评分将卒中风险分为低（0-1）、中（2）或高（≥3）。研究终点是血栓栓塞（缺血性中风或全身性栓塞）和出血（国际血栓与止血学会大出血和临床相关非大出血）。采用 6 个月的里程碑分析，使用发病率和 Cox 模型评估 OAC 与终点的关联。结果：在 13 669 名患者中（中位随访时间为 4.0 年），在 6 个月里程碑时，2 637 名患者继续接受 OAC，11 032 名患者停止接受 OAC。OAC 与低（调整后风险比 [aHR]，1.11 [95% CI，0.70-1.77]；P=0.649）、中（aHR，0.64 [95% CI，0.36-1.16]；P=0.141）或高卒中风险患者（aHR，1.05 [95% CI， 0.74-1.48]；P=0.801）。相反，持续的 OAC 与较高的出血风险相关，包括中风风险层中临床相关的非大出血，以及国际血栓和止血学会高风险患者中的大出血（aHR，2.32 [95% CI，1.19-4.50]；P = 0.013）。这些结果在亚组和敏感性分析中是一致的。</w:t>
            </w:r>
          </w:p>
          <w:p>
            <w:pPr>
              <w:spacing w:after="0" w:before="80"/>
            </w:pPr>
            <w:hyperlink w:history="1" r:id="rId5x7ibxmhzoedjstp4lax2">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2026-08-29</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窦克非｜中国医学科学院阜外医院</w:t>
            </w:r>
          </w:p>
          <w:p>
            <w:pPr>
              <w:spacing w:after="70" w:before="0" w:line="340"/>
            </w:pPr>
            <w:r>
              <w:rPr>
                <w:rFonts w:ascii="Microsoft YaHei UI" w:cs="Microsoft YaHei UI" w:eastAsia="Microsoft YaHei UI" w:hAnsi="Microsoft YaHei UI"/>
                <w:b/>
                <w:bCs/>
                <w:color w:val="152625"/>
                <w:sz w:val="22"/>
                <w:szCs w:val="22"/>
              </w:rPr>
              <w:t xml:space="preserve">经皮冠状动脉介入治疗后局部与全身炎症和结果。</w:t>
            </w:r>
          </w:p>
          <w:p>
            <w:pPr>
              <w:spacing w:after="0" w:before="0" w:line="320"/>
            </w:pPr>
            <w:r>
              <w:rPr>
                <w:rFonts w:ascii="Microsoft YaHei UI" w:cs="Microsoft YaHei UI" w:eastAsia="Microsoft YaHei UI" w:hAnsi="Microsoft YaHei UI"/>
                <w:color w:val="5F706E"/>
                <w:sz w:val="20"/>
                <w:szCs w:val="20"/>
              </w:rPr>
              <w:t xml:space="preserve">研究主题：经皮冠状动脉介入治疗后局部与全身炎症和结果。。摘要要点：背景和目的：炎症影响冠状动脉疾病（CAD）经皮冠状动脉介入治疗（PCI）后的结果。本研究旨在评估局部冠状动脉炎症和全身炎症对不良结果的相对和综合预后价值。方法：在一个由 1,987 名接受 PCI 的 CAD 患者组成的前瞻性队列中，对通过冠状动脉周围脂肪衰减指数 (FAI) 量化的局部炎症和通过高敏 C 反应蛋白 (hs-CRP) 测量的全身炎症进行了评估。患者层面的主要终点是主要不良心血管事件（MACE），包括全因死亡率、非致命性心肌梗死和计划外重复血运重建。容器级端点是面向容器的复合端点（VOCE）。结果：在中位 3 年的随访中，164 名患者 (8.3%) 经历了 MACE，2,436 条血管中的 118 条 (4.8%) 经历了 VOCE。采用 SHAP 分析的极限梯度提升将 FAI-MAX 列为 MACE 和 VOCE 中最重要的局部炎症特征。高 FAI-MAX (?-70 HU) 与 MACE (HR 3.25, 95% CI 2.29-4.61) 和 VOCE (HR 3.15, 95% CI 2.06-4.82) 密切相关。FAI-MAX 高且 hs-CRP 升高的患者风险最高（MACE HR 4.00，95% CI 2.47-6.32；VOCE HR 4.15，95% CI 2.37-7.25）。高局部炎症和低全身炎症比相反表型带来的风险要大得多（MACE HR 2.88，95% CI 1.</w:t>
            </w:r>
          </w:p>
          <w:p>
            <w:pPr>
              <w:spacing w:after="0" w:before="80"/>
            </w:pPr>
            <w:hyperlink w:history="1" r:id="rId8nellu6j0vprbinvzamjc">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徐运｜南京鼓楼医院</w:t>
            </w:r>
          </w:p>
          <w:p>
            <w:pPr>
              <w:spacing w:after="70" w:before="0" w:line="340"/>
            </w:pPr>
            <w:r>
              <w:rPr>
                <w:rFonts w:ascii="Microsoft YaHei UI" w:cs="Microsoft YaHei UI" w:eastAsia="Microsoft YaHei UI" w:hAnsi="Microsoft YaHei UI"/>
                <w:b/>
                <w:bCs/>
                <w:color w:val="152625"/>
                <w:sz w:val="22"/>
                <w:szCs w:val="22"/>
              </w:rPr>
              <w:t xml:space="preserve">小胶质细胞 RIOK3 通过促进 YBX1 磷酸化和核积累来促进缺血后神经炎症。</w:t>
            </w:r>
          </w:p>
          <w:p>
            <w:pPr>
              <w:spacing w:after="0" w:before="0" w:line="320"/>
            </w:pPr>
            <w:r>
              <w:rPr>
                <w:rFonts w:ascii="Microsoft YaHei UI" w:cs="Microsoft YaHei UI" w:eastAsia="Microsoft YaHei UI" w:hAnsi="Microsoft YaHei UI"/>
                <w:color w:val="5F706E"/>
                <w:sz w:val="20"/>
                <w:szCs w:val="20"/>
              </w:rPr>
              <w:t xml:space="preserve">研究主题：小胶质细胞 RIOK3 通过促进 YBX1 磷酸化和核积累来促进缺血后神经炎症。。摘要要点：小胶质细胞的过度激活会加剧缺血性中风后的继发性脑损伤，但控制这种反应的上游机制仍不完全清楚。本研究旨在探讨RIO激酶3（RIOK3）在缺血性脑卒中后小胶质细胞介导的神经炎症中的作用，并探讨其潜在的分子机制。在短暂大脑中动脉闭塞的小鼠和暴露于脂多糖或氧糖剥夺/复氧的原代小胶质细胞中检查了 RIOK3 的表达。在 Tmem119-CreERT2 小鼠中使用 Cre 依赖性腺相关病毒 shRNA 策略实现了小胶质细胞靶向 RIOK3 敲低。脑缺血后小胶质细胞中的 RIOK3 以及 LPS 或 OGD/R 刺激后原代小胶质细胞中的 RIOK3 显着上调。小胶质细胞靶向的 RIOK3 敲低减少了梗塞体积，改善了早期神经和感觉运动结果，保留了小胶质细胞过程的复杂性，并减少了缺血后炎症。在体外，敲除 RIOK3 可减少小胶质细胞炎症反应和小胶质细胞介导的神经毒性。转录组和生化分析进一步表明，RIOK3 敲低可抑制 NF-κB 相关转录程序并降低 IκBα 和 p65 的磷酸化。从机制上讲，免疫沉淀测定将 Y 盒结合蛋白 1 (YBX1) 鉴定为 RIOK3 相互作用蛋白，并将这种相互作用映射到 RIOK3 含有 C 端激酶结构域的区域。RIOK3 增强 YBX1 Ser102 磷酸化和核积累，而 YBX1 敲低则减弱 NF-κB 激活和 RIOK3 过表达的促炎作用。</w:t>
            </w:r>
          </w:p>
          <w:p>
            <w:pPr>
              <w:spacing w:after="0" w:before="80"/>
            </w:pPr>
            <w:hyperlink w:history="1" r:id="rIdojluqxefvwc3jfoiex55u">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2026-08-28</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葛均波｜复旦大学附属中山医院</w:t>
            </w:r>
          </w:p>
          <w:p>
            <w:pPr>
              <w:spacing w:after="70" w:before="0" w:line="340"/>
            </w:pPr>
            <w:r>
              <w:rPr>
                <w:rFonts w:ascii="Microsoft YaHei UI" w:cs="Microsoft YaHei UI" w:eastAsia="Microsoft YaHei UI" w:hAnsi="Microsoft YaHei UI"/>
                <w:b/>
                <w:bCs/>
                <w:color w:val="152625"/>
                <w:sz w:val="22"/>
                <w:szCs w:val="22"/>
              </w:rPr>
              <w:t xml:space="preserve">促甲状腺激素增强血小板活化和动脉血栓形成。</w:t>
            </w:r>
          </w:p>
          <w:p>
            <w:pPr>
              <w:spacing w:after="0" w:before="0" w:line="320"/>
            </w:pPr>
            <w:r>
              <w:rPr>
                <w:rFonts w:ascii="Microsoft YaHei UI" w:cs="Microsoft YaHei UI" w:eastAsia="Microsoft YaHei UI" w:hAnsi="Microsoft YaHei UI"/>
                <w:color w:val="5F706E"/>
                <w:sz w:val="20"/>
                <w:szCs w:val="20"/>
              </w:rPr>
              <w:t xml:space="preserve">研究主题：促甲状腺激素增强血小板活化和动脉血栓形成。。摘要要点：目的：促甲状腺激素（TSH）在亚临床甲状腺功能减退症等情况下升高，在临床上与冠状动脉疾病（CAD）患者发病率和死亡率较高的风险有关。在此，我们旨在研究 TSH 对 CAD 相关血小板活化和动脉血栓形成的影响及其潜在机制。方法和结果：临床研究表明，较高的 TSH 水平与 CAD 患者发生主要不良心血管事件的风险增加相关。体外人类和小鼠血小板功能研究发现，TSH 增强激动剂诱导的血小板聚集、致密颗粒三磷酸腺苷释放、整合素 α-IIb beta-3 激活、P-选择素从 α 颗粒释放、血小板扩散和凝块收缩。此外，体内动物研究表明，TSH 会增强血栓形成、全血血栓形成以及大脑中动脉闭塞引起的脑损伤。机制研究表明血小板表达 TSH 受体 (TSHR)。 TSH 与血小板 TSHR 结合并激活 Gs/cAMP/PKA 和 Gq/Ca2+/PKC/MAPK 信号通路。 Gq 途径的激活比 Gs 途径更明显，从而增强血小板激活。最后，我们的体内工作表明，在小鼠心肌缺血/再灌注损伤模型中，TSH 会加重微血管阻塞并促进心肌梗死扩张。结论：TSH 通过参与血小板 TSHR 增强血小板活化和体内血栓形成，随后激活涉及 Gs/cAMP/PKA 和 Gq/Ca2+/PKC/MAPK 通路的下游信号级联。</w:t>
            </w:r>
          </w:p>
          <w:p>
            <w:pPr>
              <w:spacing w:after="0" w:before="80"/>
            </w:pPr>
            <w:hyperlink w:history="1" r:id="rIdyqpw1ptfbxhlzwcs9w0wo">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FFFFF"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2026-08-27</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FFFFF"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王拥军｜首都医科大学附属北京天坛医院</w:t>
            </w:r>
          </w:p>
          <w:p>
            <w:pPr>
              <w:spacing w:after="70" w:before="0" w:line="340"/>
            </w:pPr>
            <w:r>
              <w:rPr>
                <w:rFonts w:ascii="Microsoft YaHei UI" w:cs="Microsoft YaHei UI" w:eastAsia="Microsoft YaHei UI" w:hAnsi="Microsoft YaHei UI"/>
                <w:b/>
                <w:bCs/>
                <w:color w:val="152625"/>
                <w:sz w:val="22"/>
                <w:szCs w:val="22"/>
              </w:rPr>
              <w:t xml:space="preserve">Loberamisal 治疗急性缺血性中风 (LAIS)：一项多中心、随机、双盲、平行、安慰剂对照 III 期临床试验。</w:t>
            </w:r>
          </w:p>
          <w:p>
            <w:pPr>
              <w:spacing w:after="0" w:before="0" w:line="320"/>
            </w:pPr>
            <w:r>
              <w:rPr>
                <w:rFonts w:ascii="Microsoft YaHei UI" w:cs="Microsoft YaHei UI" w:eastAsia="Microsoft YaHei UI" w:hAnsi="Microsoft YaHei UI"/>
                <w:color w:val="5F706E"/>
                <w:sz w:val="20"/>
                <w:szCs w:val="20"/>
              </w:rPr>
              <w:t xml:space="preserve">研究主题：Loberamisal 治疗急性缺血性中风 (LAIS)：一项多中心、随机、双盲、平行、安慰剂对照 III 期临床试验。。摘要要点：背景和目的：Loberamisal 是一种新型药物，可解离突触后密度蛋白 95/神经元一氧化氮合酶复合物并增强含 α2 的 γ-氨基丁酸 A 型受体，是一种潜在的神经保护剂，在急性缺血性中风的临床前研究中有效。该试验旨在证明静脉注射叶阿米沙尔对发病 48 小时内的急性缺血性卒中 (AIS) 患者的有效性和安全性。方法和设计：LAIS（Loberamisal 治疗急性缺血性中风）试验是一项多中心、前瞻性、随机、双盲、安慰剂对照 3 期试验。总共 998 名符合条件的患者将以 1:1 的比例随机分配接受 loberamisal 或安慰剂治疗。结果：主要疗效结果是在 90 天时实现优异功能结果的个体比例，定义为改良 Rankin 量表 (mRS) 0-1。次要疗效结局包括良好的功能结局（定义为基线 NIHSS 评分为 4 至 7 分的患者，mRS 评分为 0；基线 NIHSS 评分为 8 至 14 分的患者，mRS 评分为 0 至 1；基线 NIHSS 评分为 15 至 25 分的患者，mRS 评分为 0 至 2）、90 天 mRS 分布、美国国立卫生研究院评分降低 ≥4 分的患者10 天和 30 天时的中风量表评分（相对于基线），90 天时 Barthel 指数≥95。安全性结果是不良事件。探索性结果包括 90 天时抑郁和焦虑症状的发生率。</w:t>
            </w:r>
          </w:p>
          <w:p>
            <w:pPr>
              <w:spacing w:after="0" w:before="80"/>
            </w:pPr>
            <w:hyperlink w:history="1" r:id="rId5uusdeupkmxem7uuleatj">
              <w:r>
                <w:rPr>
                  <w:rFonts w:ascii="Microsoft YaHei UI" w:cs="Microsoft YaHei UI" w:eastAsia="Microsoft YaHei UI" w:hAnsi="Microsoft YaHei UI"/>
                  <w:color w:val="1B6CA8"/>
                  <w:sz w:val="18"/>
                  <w:szCs w:val="18"/>
                  <w:u w:val="single"/>
                </w:rPr>
                <w:t xml:space="preserve">打开原始来源</w:t>
              </w:r>
            </w:hyperlink>
          </w:p>
        </w:tc>
      </w:tr>
      <w:tr>
        <w:trPr>
          <w:cantSplit/>
        </w:trPr>
        <w:tc>
          <w:tcPr>
            <w:tcW w:type="dxa" w:w="1450"/>
            <w:shd w:fill="F5F8F7" w:val="clear"/>
            <w:tcMar>
              <w:top w:type="dxa" w:w="150"/>
              <w:left w:type="dxa" w:w="170"/>
              <w:bottom w:type="dxa" w:w="150"/>
              <w:right w:type="dxa" w:w="170"/>
            </w:tcMar>
            <w:vAlign w:val="center"/>
          </w:tcPr>
          <w:p>
            <w:pPr>
              <w:spacing w:after="50" w:before="0" w:line="340"/>
            </w:pPr>
            <w:r>
              <w:rPr>
                <w:rFonts w:ascii="Microsoft YaHei UI" w:cs="Microsoft YaHei UI" w:eastAsia="Microsoft YaHei UI" w:hAnsi="Microsoft YaHei UI"/>
                <w:b/>
                <w:bCs/>
                <w:color w:val="152625"/>
                <w:sz w:val="22"/>
                <w:szCs w:val="22"/>
              </w:rPr>
              <w:t xml:space="preserve">2026-08-26</w:t>
            </w:r>
          </w:p>
          <w:p>
            <w:pPr>
              <w:spacing w:after="0" w:before="0" w:line="340"/>
            </w:pPr>
            <w:r>
              <w:rPr>
                <w:rFonts w:ascii="Microsoft YaHei UI" w:cs="Microsoft YaHei UI" w:eastAsia="Microsoft YaHei UI" w:hAnsi="Microsoft YaHei UI"/>
                <w:color w:val="5F706E"/>
                <w:sz w:val="22"/>
                <w:szCs w:val="22"/>
              </w:rPr>
              <w:t xml:space="preserve">PubMed</w:t>
            </w:r>
          </w:p>
        </w:tc>
        <w:tc>
          <w:tcPr>
            <w:tcW w:type="dxa" w:w="8550"/>
            <w:shd w:fill="F5F8F7" w:val="clear"/>
            <w:tcMar>
              <w:top w:type="dxa" w:w="150"/>
              <w:left w:type="dxa" w:w="170"/>
              <w:bottom w:type="dxa" w:w="150"/>
              <w:right w:type="dxa" w:w="170"/>
            </w:tcMar>
            <w:vAlign w:val="top"/>
          </w:tcPr>
          <w:p>
            <w:pPr>
              <w:spacing w:after="70" w:before="0" w:line="340"/>
            </w:pPr>
            <w:r>
              <w:rPr>
                <w:rFonts w:ascii="Microsoft YaHei UI" w:cs="Microsoft YaHei UI" w:eastAsia="Microsoft YaHei UI" w:hAnsi="Microsoft YaHei UI"/>
                <w:b/>
                <w:bCs/>
                <w:color w:val="0B5C55"/>
                <w:sz w:val="22"/>
                <w:szCs w:val="22"/>
              </w:rPr>
              <w:t xml:space="preserve">窦克非｜中国医学科学院阜外医院</w:t>
            </w:r>
          </w:p>
          <w:p>
            <w:pPr>
              <w:spacing w:after="70" w:before="0" w:line="340"/>
            </w:pPr>
            <w:r>
              <w:rPr>
                <w:rFonts w:ascii="Microsoft YaHei UI" w:cs="Microsoft YaHei UI" w:eastAsia="Microsoft YaHei UI" w:hAnsi="Microsoft YaHei UI"/>
                <w:b/>
                <w:bCs/>
                <w:color w:val="152625"/>
                <w:sz w:val="22"/>
                <w:szCs w:val="22"/>
              </w:rPr>
              <w:t xml:space="preserve">2 型糖尿病改变了他汀类药物治疗的冠状动脉疾病患者的 LDL 粒径的预后价值：一项大规模队列研究。</w:t>
            </w:r>
          </w:p>
          <w:p>
            <w:pPr>
              <w:spacing w:after="0" w:before="0" w:line="320"/>
            </w:pPr>
            <w:r>
              <w:rPr>
                <w:rFonts w:ascii="Microsoft YaHei UI" w:cs="Microsoft YaHei UI" w:eastAsia="Microsoft YaHei UI" w:hAnsi="Microsoft YaHei UI"/>
                <w:color w:val="5F706E"/>
                <w:sz w:val="20"/>
                <w:szCs w:val="20"/>
              </w:rPr>
              <w:t xml:space="preserve">研究主题：2 型糖尿病改变了他汀类药物治疗的冠状动脉疾病患者的 LDL 粒径的预后价值：一项大规模队列研究。。摘要要点：LDL 胆固醇 (LDLC) 与载脂蛋白 B (ApoB) 的比率是 LDL 颗粒大小的一个可用且可靠的指标。本研究的目的是探讨 2 型糖尿病 (T2DM) 是否会调节接受他汀类药物治疗的冠状动脉疾病 (CAD) 患者的 LDL-C/ApoB 比值的预后价值。该研究纳入了 21,382 名 CAD 患者，他们在基线时接受了他汀类药物治疗，中位随访时间为 3.1 年。主要终点是主要不良心脏事件（MACE），包括全因死亡率、非致命性心肌梗死（MI）和缺血驱动的血运重建。较高的 LDL-C/ApoB 水平（≥1.2）与 T2DM 组 MACE 风险降低相关（调整后 HR：0.81，95% CI：0.69-0.96）。仅在 T2DM 组中，LDL-C/ApoB 比率逐步增加 0.1 个单位与 MACE 降低 5% 相关。在没有 T2DM 的参与者中，LDL-C/ApoB 与 MACE 之间没有明确的关联（交互作用 p &lt; 0.05）。在 T2DM 组中，未发现 MACE 风险与 LDL-C 或 ApoB 之间存在显着关联。我们的数据表明，在接受他汀类药物治疗的 CAD 患者中，LDL-C/ApoB 比值仅与 T2DM 患者的不良预后相关。在接受他汀类药物治疗的 CAD 和 T2DM 患者中，LDL-C/ApoB 可能是比 LDL-C 更好的残余胆固醇风险指标。</w:t>
            </w:r>
          </w:p>
          <w:p>
            <w:pPr>
              <w:spacing w:after="0" w:before="80"/>
            </w:pPr>
            <w:hyperlink w:history="1" r:id="rId5sslxsxd0sdumclrsmutd">
              <w:r>
                <w:rPr>
                  <w:rFonts w:ascii="Microsoft YaHei UI" w:cs="Microsoft YaHei UI" w:eastAsia="Microsoft YaHei UI" w:hAnsi="Microsoft YaHei UI"/>
                  <w:color w:val="1B6CA8"/>
                  <w:sz w:val="18"/>
                  <w:szCs w:val="18"/>
                  <w:u w:val="single"/>
                </w:rPr>
                <w:t xml:space="preserve">打开原始来源</w:t>
              </w:r>
            </w:hyperlink>
          </w:p>
        </w:tc>
      </w:tr>
    </w:tbl>
    <w:p>
      <w:pPr>
        <w:pStyle w:val="Heading1"/>
        <w:keepNext/>
        <w:spacing w:after="160" w:before="300" w:line="340"/>
      </w:pPr>
      <w:r>
        <w:rPr>
          <w:rFonts w:ascii="Microsoft YaHei UI" w:cs="Microsoft YaHei UI" w:eastAsia="Microsoft YaHei UI" w:hAnsi="Microsoft YaHei UI"/>
          <w:color w:val="152625"/>
          <w:sz w:val="22"/>
          <w:szCs w:val="22"/>
        </w:rPr>
        <w:t xml:space="preserve">涉及分子 / 靶点</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阿托伐他汀钙 / atorvastatin calcium / C66H68CaF2N4O10（28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辛伐他汀 / simvastatin / C25H38O5（24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依洛尤单抗 / evolocumab / 不适用：抗体/融合蛋白/大分子药物，分子量和糖基化等取决于序列与生产工艺（20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瑞舒伐他汀钙 / rosuvastatin calcium / C44H54CaF2N6O12S2（18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依折麦布 / ezetimibe / C24H21F2NO3（14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英克司兰 / inclisiran / 寡核苷酸/siRNA：需按序列、修饰和盐型确认分子式（14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恩利西肽 / enlicitide / 寡核苷酸/siRNA：需按序列、修饰和盐型确认分子式（11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贝派地酸 / bempedoic acid / C19H36O5（9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阿利西尤单抗 / alirocumab / 不适用：抗体/融合蛋白/大分子药物，分子量和糖基化等取决于序列与生产工艺（9 条）</w:t>
      </w:r>
    </w:p>
    <w:p>
      <w:pPr>
        <w:pStyle w:val="ListParagraph"/>
        <w:numPr>
          <w:ilvl w:val="0"/>
          <w:numId w:val="1"/>
        </w:numPr>
        <w:spacing w:after="80" w:before="0" w:line="340"/>
      </w:pPr>
      <w:r>
        <w:rPr>
          <w:rFonts w:ascii="Microsoft YaHei UI" w:cs="Microsoft YaHei UI" w:eastAsia="Microsoft YaHei UI" w:hAnsi="Microsoft YaHei UI"/>
          <w:color w:val="152625"/>
          <w:sz w:val="21"/>
          <w:szCs w:val="21"/>
        </w:rPr>
        <w:t xml:space="preserve">匹伐他汀钙 / pitavastatin calcium / C50H46CaF2N2O8（6 条）</w:t>
      </w:r>
    </w:p>
    <w:p>
      <w:pPr>
        <w:pStyle w:val="Heading1"/>
        <w:keepNext/>
        <w:spacing w:after="160" w:before="300" w:line="340"/>
      </w:pPr>
      <w:r>
        <w:rPr>
          <w:rFonts w:ascii="Microsoft YaHei UI" w:cs="Microsoft YaHei UI" w:eastAsia="Microsoft YaHei UI" w:hAnsi="Microsoft YaHei UI"/>
          <w:color w:val="152625"/>
          <w:sz w:val="22"/>
          <w:szCs w:val="22"/>
        </w:rPr>
        <w:t xml:space="preserve">建议跟进</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建立 PCSK9、口服 PCSK9 和联合降脂方案追踪表</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逐条核对高证据研究的人群、终点和安全性</w:t>
      </w:r>
    </w:p>
    <w:p>
      <w:pPr>
        <w:pStyle w:val="ListParagraph"/>
        <w:numPr>
          <w:ilvl w:val="0"/>
          <w:numId w:val="2"/>
        </w:numPr>
        <w:spacing w:after="110" w:before="0" w:line="340"/>
      </w:pPr>
      <w:r>
        <w:rPr>
          <w:rFonts w:ascii="Microsoft YaHei UI" w:cs="Microsoft YaHei UI" w:eastAsia="Microsoft YaHei UI" w:hAnsi="Microsoft YaHei UI"/>
          <w:color w:val="152625"/>
          <w:sz w:val="22"/>
          <w:szCs w:val="22"/>
        </w:rPr>
        <w:t xml:space="preserve">更新立普妥在高强度降脂与联合治疗中的沟通要点</w:t>
      </w:r>
    </w:p>
    <w:sectPr>
      <w:headerReference w:type="default" r:id="rId7"/>
      <w:footerReference w:type="default" r:id="rId8"/>
      <w:pgSz w:w="11906" w:h="16838" w:orient="portrait"/>
      <w:pgMar w:top="1150" w:right="950" w:bottom="1050" w:left="9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icrosoft YaHei UI" w:cs="Microsoft YaHei UI" w:eastAsia="Microsoft YaHei UI" w:hAnsi="Microsoft YaHei UI"/>
        <w:color w:val="5F706E"/>
        <w:sz w:val="17"/>
        <w:szCs w:val="17"/>
      </w:rPr>
      <w:t xml:space="preserve">内部工作材料 ·</w:t>
    </w:r>
    <w:r>
      <w:rPr>
        <w:rFonts w:ascii="Microsoft YaHei UI" w:cs="Microsoft YaHei UI" w:eastAsia="Microsoft YaHei UI" w:hAnsi="Microsoft YaHei UI"/>
        <w:color w:val="5F706E"/>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line="340"/>
      <w:jc w:val="right"/>
    </w:pPr>
    <w:r>
      <w:rPr>
        <w:rFonts w:ascii="Microsoft YaHei UI" w:cs="Microsoft YaHei UI" w:eastAsia="Microsoft YaHei UI" w:hAnsi="Microsoft YaHei UI"/>
        <w:color w:val="5F706E"/>
        <w:sz w:val="17"/>
        <w:szCs w:val="17"/>
      </w:rPr>
      <w:t xml:space="preserve">立普妥 | 2026年8月产品情报</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icrosoft YaHei UI" w:cs="Microsoft YaHei UI" w:eastAsia="Microsoft YaHei UI" w:hAnsi="Microsoft YaHei UI"/>
        <w:color w:val="152625"/>
        <w:sz w:val="22"/>
        <w:szCs w:val="22"/>
      </w:rPr>
    </w:rPrDefault>
    <w:pPrDefault>
      <w:pPr>
        <w:spacing w:after="120" w:line="34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pPr>
    <w:rPr>
      <w:rFonts w:ascii="Microsoft YaHei UI" w:cs="Microsoft YaHei UI" w:eastAsia="Microsoft YaHei UI" w:hAnsi="Microsoft YaHei UI"/>
      <w:b/>
      <w:bCs/>
      <w:color w:val="0B5C55"/>
      <w:sz w:val="30"/>
      <w:szCs w:val="3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w6pz2ubamp_nraezufi6y" Type="http://schemas.openxmlformats.org/officeDocument/2006/relationships/hyperlink" Target="https://clinicaltrials.gov/study/NCT07775339" TargetMode="External"/><Relationship Id="rIdxcmpoeijajsew3y5ejz7g" Type="http://schemas.openxmlformats.org/officeDocument/2006/relationships/hyperlink" Target="https://clinicaltrials.gov/study/NCT06834932" TargetMode="External"/><Relationship Id="rIdwv7lzvcqwx6kftrf5oa3b" Type="http://schemas.openxmlformats.org/officeDocument/2006/relationships/hyperlink" Target="https://clinicaltrials.gov/study/NCT07474649" TargetMode="External"/><Relationship Id="rIdwnteaxq5ktjns4v62nbx9" Type="http://schemas.openxmlformats.org/officeDocument/2006/relationships/hyperlink" Target="https://clinicaltrials.gov/study/NCT06909565" TargetMode="External"/><Relationship Id="rIdfs4rvcg3gxkkadfn8jrll" Type="http://schemas.openxmlformats.org/officeDocument/2006/relationships/hyperlink" Target="https://clinicaltrials.gov/study/NCT05030428" TargetMode="External"/><Relationship Id="rId31weryyivoan9xjdhkwck" Type="http://schemas.openxmlformats.org/officeDocument/2006/relationships/hyperlink" Target="https://clinicaltrials.gov/study/NCT03207945" TargetMode="External"/><Relationship Id="rId8hznxutwawp2qsiebw2gd" Type="http://schemas.openxmlformats.org/officeDocument/2006/relationships/hyperlink" Target="https://clinicaltrials.gov/study/NCT07058077" TargetMode="External"/><Relationship Id="rIdd0ibelcvwlcobftzy01w3" Type="http://schemas.openxmlformats.org/officeDocument/2006/relationships/hyperlink" Target="https://clinicaltrials.gov/study/NCT06813911" TargetMode="External"/><Relationship Id="rId5x7ibxmhzoedjstp4lax2" Type="http://schemas.openxmlformats.org/officeDocument/2006/relationships/hyperlink" Target="https://pubmed.ncbi.nlm.nih.gov/42669879/" TargetMode="External"/><Relationship Id="rId8nellu6j0vprbinvzamjc" Type="http://schemas.openxmlformats.org/officeDocument/2006/relationships/hyperlink" Target="https://pubmed.ncbi.nlm.nih.gov/42667169/" TargetMode="External"/><Relationship Id="rIdojluqxefvwc3jfoiex55u" Type="http://schemas.openxmlformats.org/officeDocument/2006/relationships/hyperlink" Target="https://pubmed.ncbi.nlm.nih.gov/42665256/" TargetMode="External"/><Relationship Id="rIdyqpw1ptfbxhlzwcs9w0wo" Type="http://schemas.openxmlformats.org/officeDocument/2006/relationships/hyperlink" Target="https://pubmed.ncbi.nlm.nih.gov/42660586/" TargetMode="External"/><Relationship Id="rId5uusdeupkmxem7uuleatj" Type="http://schemas.openxmlformats.org/officeDocument/2006/relationships/hyperlink" Target="https://pubmed.ncbi.nlm.nih.gov/41344725/" TargetMode="External"/><Relationship Id="rId5sslxsxd0sdumclrsmutd" Type="http://schemas.openxmlformats.org/officeDocument/2006/relationships/hyperlink" Target="https://pubmed.ncbi.nlm.nih.gov/42656716/" TargetMode="External"/><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2026年8月立普妥关注报告</dc:title>
  <dc:creator>Codex</dc:creator>
  <cp:lastModifiedBy>Un-named</cp:lastModifiedBy>
  <cp:revision>1</cp:revision>
  <dcterms:created xsi:type="dcterms:W3CDTF">2026-09-08T04:16:23.056Z</dcterms:created>
  <dcterms:modified xsi:type="dcterms:W3CDTF">2026-09-08T04:16:23.059Z</dcterms:modified>
</cp:coreProperties>
</file>

<file path=docProps/custom.xml><?xml version="1.0" encoding="utf-8"?>
<Properties xmlns="http://schemas.openxmlformats.org/officeDocument/2006/custom-properties" xmlns:vt="http://schemas.openxmlformats.org/officeDocument/2006/docPropsVTypes"/>
</file>