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0" w:line="340"/>
      </w:pPr>
      <w:r>
        <w:rPr>
          <w:rFonts w:ascii="Microsoft YaHei UI" w:cs="Microsoft YaHei UI" w:eastAsia="Microsoft YaHei UI" w:hAnsi="Microsoft YaHei UI"/>
          <w:b/>
          <w:bCs/>
          <w:color w:val="147D73"/>
          <w:sz w:val="20"/>
          <w:szCs w:val="20"/>
        </w:rPr>
        <w:t xml:space="preserve">MONTHLY PRODUCT INTELLIGENCE</w:t>
      </w:r>
    </w:p>
    <w:p>
      <w:pPr>
        <w:spacing w:after="120" w:before="0" w:line="340"/>
      </w:pPr>
      <w:r>
        <w:rPr>
          <w:rFonts w:ascii="Microsoft YaHei UI" w:cs="Microsoft YaHei UI" w:eastAsia="Microsoft YaHei UI" w:hAnsi="Microsoft YaHei UI"/>
          <w:b/>
          <w:bCs/>
          <w:color w:val="0B5C55"/>
          <w:sz w:val="40"/>
          <w:szCs w:val="40"/>
        </w:rPr>
        <w:t xml:space="preserve">乐瑞卡｜2026年8月关注报告</w:t>
      </w:r>
    </w:p>
    <w:p>
      <w:pPr>
        <w:spacing w:after="360" w:before="0" w:line="340"/>
      </w:pPr>
      <w:r>
        <w:rPr>
          <w:rFonts w:ascii="Microsoft YaHei UI" w:cs="Microsoft YaHei UI" w:eastAsia="Microsoft YaHei UI" w:hAnsi="Microsoft YaHei UI"/>
          <w:color w:val="5F706E"/>
          <w:sz w:val="22"/>
          <w:szCs w:val="22"/>
        </w:rPr>
        <w:t xml:space="preserve">2026-08-01 至 2026-08-31</w:t>
      </w:r>
    </w:p>
    <w:tbl>
      <w:tblPr>
        <w:tblW w:type="dxa" w:w="10000"/>
        <w:tblBorders>
          <w:top w:val="none"/>
          <w:left w:val="none"/>
          <w:bottom w:val="none"/>
          <w:right w:val="none"/>
          <w:insideH w:val="none"/>
          <w:insideV w:val="single" w:color="FFFFFF" w:sz="8"/>
        </w:tblBorders>
      </w:tblPr>
      <w:tblGrid>
        <w:gridCol w:w="2000"/>
        <w:gridCol w:w="2000"/>
        <w:gridCol w:w="2000"/>
        <w:gridCol w:w="2000"/>
        <w:gridCol w:w="2000"/>
      </w:tblGrid>
      <w:tr>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174</w:t>
            </w:r>
          </w:p>
          <w:p>
            <w:pPr>
              <w:spacing w:after="0" w:before="0" w:line="340"/>
              <w:jc w:val="center"/>
            </w:pPr>
            <w:r>
              <w:rPr>
                <w:rFonts w:ascii="Microsoft YaHei UI" w:cs="Microsoft YaHei UI" w:eastAsia="Microsoft YaHei UI" w:hAnsi="Microsoft YaHei UI"/>
                <w:color w:val="5F706E"/>
                <w:sz w:val="19"/>
                <w:szCs w:val="19"/>
              </w:rPr>
              <w:t xml:space="preserve">有效进展</w:t>
            </w:r>
          </w:p>
        </w:tc>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92</w:t>
            </w:r>
          </w:p>
          <w:p>
            <w:pPr>
              <w:spacing w:after="0" w:before="0" w:line="340"/>
              <w:jc w:val="center"/>
            </w:pPr>
            <w:r>
              <w:rPr>
                <w:rFonts w:ascii="Microsoft YaHei UI" w:cs="Microsoft YaHei UI" w:eastAsia="Microsoft YaHei UI" w:hAnsi="Microsoft YaHei UI"/>
                <w:color w:val="5F706E"/>
                <w:sz w:val="19"/>
                <w:szCs w:val="19"/>
              </w:rPr>
              <w:t xml:space="preserve">建议跟进</w:t>
            </w:r>
          </w:p>
        </w:tc>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40</w:t>
            </w:r>
          </w:p>
          <w:p>
            <w:pPr>
              <w:spacing w:after="0" w:before="0" w:line="340"/>
              <w:jc w:val="center"/>
            </w:pPr>
            <w:r>
              <w:rPr>
                <w:rFonts w:ascii="Microsoft YaHei UI" w:cs="Microsoft YaHei UI" w:eastAsia="Microsoft YaHei UI" w:hAnsi="Microsoft YaHei UI"/>
                <w:color w:val="5F706E"/>
                <w:sz w:val="19"/>
                <w:szCs w:val="19"/>
              </w:rPr>
              <w:t xml:space="preserve">高证据</w:t>
            </w:r>
          </w:p>
        </w:tc>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2</w:t>
            </w:r>
          </w:p>
          <w:p>
            <w:pPr>
              <w:spacing w:after="0" w:before="0" w:line="340"/>
              <w:jc w:val="center"/>
            </w:pPr>
            <w:r>
              <w:rPr>
                <w:rFonts w:ascii="Microsoft YaHei UI" w:cs="Microsoft YaHei UI" w:eastAsia="Microsoft YaHei UI" w:hAnsi="Microsoft YaHei UI"/>
                <w:color w:val="5F706E"/>
                <w:sz w:val="19"/>
                <w:szCs w:val="19"/>
              </w:rPr>
              <w:t xml:space="preserve">KOL记录</w:t>
            </w:r>
          </w:p>
        </w:tc>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2</w:t>
            </w:r>
          </w:p>
          <w:p>
            <w:pPr>
              <w:spacing w:after="0" w:before="0" w:line="340"/>
              <w:jc w:val="center"/>
            </w:pPr>
            <w:r>
              <w:rPr>
                <w:rFonts w:ascii="Microsoft YaHei UI" w:cs="Microsoft YaHei UI" w:eastAsia="Microsoft YaHei UI" w:hAnsi="Microsoft YaHei UI"/>
                <w:color w:val="5F706E"/>
                <w:sz w:val="19"/>
                <w:szCs w:val="19"/>
              </w:rPr>
              <w:t xml:space="preserve">涉及专家</w:t>
            </w:r>
          </w:p>
        </w:tc>
      </w:tr>
    </w:tbl>
    <w:p>
      <w:pPr>
        <w:pStyle w:val="Heading1"/>
        <w:keepNext/>
        <w:spacing w:after="160" w:before="300" w:line="340"/>
      </w:pPr>
      <w:r>
        <w:rPr>
          <w:rFonts w:ascii="Microsoft YaHei UI" w:cs="Microsoft YaHei UI" w:eastAsia="Microsoft YaHei UI" w:hAnsi="Microsoft YaHei UI"/>
          <w:color w:val="152625"/>
          <w:sz w:val="22"/>
          <w:szCs w:val="22"/>
        </w:rPr>
        <w:t xml:space="preserve">管理层摘要</w:t>
      </w:r>
    </w:p>
    <w:tbl>
      <w:tblPr>
        <w:tblW w:type="dxa" w:w="10000"/>
        <w:tblBorders>
          <w:top w:val="single" w:color="D6E2DF" w:sz="1"/>
          <w:left w:val="single" w:color="D6E2DF" w:sz="1"/>
          <w:bottom w:val="single" w:color="D6E2DF" w:sz="1"/>
          <w:right w:val="single" w:color="D6E2DF" w:sz="1"/>
          <w:insideH w:val="single" w:color="D6E2DF" w:sz="1"/>
          <w:insideV w:val="single" w:color="D6E2DF" w:sz="1"/>
        </w:tblBorders>
      </w:tblPr>
      <w:tblGrid>
        <w:gridCol w:w="1750"/>
        <w:gridCol w:w="8250"/>
      </w:tblGrid>
      <w:tr>
        <w:tc>
          <w:tcPr>
            <w:tcW w:type="dxa" w:w="1750"/>
            <w:shd w:fill="DDF1EC"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一句话结论</w:t>
            </w:r>
          </w:p>
        </w:tc>
        <w:tc>
          <w:tcPr>
            <w:tcW w:type="dxa" w:w="8250"/>
            <w:shd w:fill="F2FAF8"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2026年8月乐瑞卡最值得注意的是：神经病理性疼痛竞争从加巴喷丁类延伸到局部治疗、抗抑郁机制和新型镇痛靶点。</w:t>
            </w:r>
          </w:p>
        </w:tc>
      </w:tr>
      <w:tr>
        <w:tc>
          <w:tcPr>
            <w:tcW w:type="dxa" w:w="1750"/>
            <w:shd w:fill="F5F8F7"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发生了什么</w:t>
            </w:r>
          </w:p>
        </w:tc>
        <w:tc>
          <w:tcPr>
            <w:tcW w:type="dxa" w:w="8250"/>
            <w:shd w:fill="FFFFFF"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本月纳入 174 条有效产品/竞品进展，其中 92 条建议跟进、40 条为高证据。优先记录包括《利多卡因-丙胺卡因乳膏用于诊室提肌触发点注射镇痛》、《通过中枢神经系统参与进行个性化镇痛，以释放表现》。</w:t>
            </w:r>
          </w:p>
        </w:tc>
      </w:tr>
      <w:tr>
        <w:tc>
          <w:tcPr>
            <w:tcW w:type="dxa" w:w="1750"/>
            <w:shd w:fill="F5F8F7"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关注什么</w:t>
            </w:r>
          </w:p>
        </w:tc>
        <w:tc>
          <w:tcPr>
            <w:tcW w:type="dxa" w:w="8250"/>
            <w:shd w:fill="FFFFFF"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优先查看局部竞品；利多卡因贴剂、直接竞品；Neurontin、本品/同成分；乐瑞卡/Lyrica、机制竞品；Cymbalta，并把同一研究在不同检索路径下的重复命中合并判断。</w:t>
            </w:r>
          </w:p>
        </w:tc>
      </w:tr>
      <w:tr>
        <w:tc>
          <w:tcPr>
            <w:tcW w:type="dxa" w:w="1750"/>
            <w:shd w:fill="F5F8F7"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为什么关注</w:t>
            </w:r>
          </w:p>
        </w:tc>
        <w:tc>
          <w:tcPr>
            <w:tcW w:type="dxa" w:w="8250"/>
            <w:shd w:fill="FFFFFF"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不同机制在疗效、起效、嗜睡眩晕和用药便利性上的差异，会影响乐瑞卡在分层治疗中的位置。</w:t>
            </w:r>
          </w:p>
        </w:tc>
      </w:tr>
      <w:tr>
        <w:tc>
          <w:tcPr>
            <w:tcW w:type="dxa" w:w="1750"/>
            <w:shd w:fill="F5F8F7"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建议动作</w:t>
            </w:r>
          </w:p>
        </w:tc>
        <w:tc>
          <w:tcPr>
            <w:tcW w:type="dxa" w:w="8250"/>
            <w:shd w:fill="FFFFFF"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按疼痛病因拆分证据，不混用不同人群结论；关注局部治疗和新机制的比较研究；更新疗效、耐受性和患者筛选的沟通要点。</w:t>
            </w:r>
          </w:p>
        </w:tc>
      </w:tr>
    </w:tbl>
    <w:p>
      <w:pPr>
        <w:pStyle w:val="Heading1"/>
        <w:keepNext/>
        <w:spacing w:after="160" w:before="300" w:line="340"/>
      </w:pPr>
      <w:r>
        <w:rPr>
          <w:rFonts w:ascii="Microsoft YaHei UI" w:cs="Microsoft YaHei UI" w:eastAsia="Microsoft YaHei UI" w:hAnsi="Microsoft YaHei UI"/>
          <w:color w:val="152625"/>
          <w:sz w:val="22"/>
          <w:szCs w:val="22"/>
        </w:rPr>
        <w:t xml:space="preserve">本月重点更新</w:t>
      </w:r>
    </w:p>
    <w:tbl>
      <w:tblPr>
        <w:tblW w:type="dxa" w:w="10000"/>
        <w:tblBorders>
          <w:top w:val="single" w:color="D6E2DF" w:sz="1"/>
          <w:left w:val="single" w:color="D6E2DF" w:sz="1"/>
          <w:bottom w:val="single" w:color="D6E2DF" w:sz="1"/>
          <w:right w:val="single" w:color="D6E2DF" w:sz="1"/>
          <w:insideH w:val="single" w:color="D6E2DF" w:sz="1"/>
          <w:insideV w:val="single" w:color="D6E2DF" w:sz="1"/>
        </w:tblBorders>
      </w:tblPr>
      <w:tblGrid>
        <w:gridCol w:w="1450"/>
        <w:gridCol w:w="5400"/>
        <w:gridCol w:w="3150"/>
      </w:tblGrid>
      <w:tr>
        <w:trPr>
          <w:tblHeader/>
        </w:trPr>
        <w:tc>
          <w:tcPr>
            <w:tcW w:type="dxa" w:w="1450"/>
            <w:shd w:fill="0B5C55"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FFFFFF"/>
                <w:sz w:val="22"/>
                <w:szCs w:val="22"/>
              </w:rPr>
              <w:t xml:space="preserve">日期 / 来源</w:t>
            </w:r>
          </w:p>
        </w:tc>
        <w:tc>
          <w:tcPr>
            <w:tcW w:type="dxa" w:w="5400"/>
            <w:shd w:fill="0B5C55"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FFFFFF"/>
                <w:sz w:val="22"/>
                <w:szCs w:val="22"/>
              </w:rPr>
              <w:t xml:space="preserve">研究或事件</w:t>
            </w:r>
          </w:p>
        </w:tc>
        <w:tc>
          <w:tcPr>
            <w:tcW w:type="dxa" w:w="3150"/>
            <w:shd w:fill="0B5C55"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FFFFFF"/>
                <w:sz w:val="22"/>
                <w:szCs w:val="22"/>
              </w:rPr>
              <w:t xml:space="preserve">判断与动作</w:t>
            </w:r>
          </w:p>
        </w:tc>
      </w:tr>
      <w:tr>
        <w:trPr>
          <w:cantSplit/>
        </w:trPr>
        <w:tc>
          <w:tcPr>
            <w:tcW w:type="dxa" w:w="1450"/>
            <w:shd w:fill="FFFFFF"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2026-08-21</w:t>
            </w:r>
          </w:p>
          <w:p>
            <w:pPr>
              <w:spacing w:after="60" w:before="0" w:line="340"/>
            </w:pPr>
            <w:r>
              <w:rPr>
                <w:rFonts w:ascii="Microsoft YaHei UI" w:cs="Microsoft YaHei UI" w:eastAsia="Microsoft YaHei UI" w:hAnsi="Microsoft YaHei UI"/>
                <w:color w:val="5F706E"/>
                <w:sz w:val="22"/>
                <w:szCs w:val="22"/>
              </w:rPr>
              <w:t xml:space="preserve">Clinical</w:t>
            </w:r>
          </w:p>
          <w:p>
            <w:pPr>
              <w:spacing w:after="0" w:before="0" w:line="340"/>
            </w:pPr>
            <w:r>
              <w:rPr>
                <w:rFonts w:ascii="Microsoft YaHei UI" w:cs="Microsoft YaHei UI" w:eastAsia="Microsoft YaHei UI" w:hAnsi="Microsoft YaHei UI"/>
                <w:color w:val="0B5C55"/>
                <w:sz w:val="18"/>
                <w:szCs w:val="18"/>
              </w:rPr>
              <w:t xml:space="preserve">高证据 / 建议跟进</w:t>
            </w:r>
          </w:p>
        </w:tc>
        <w:tc>
          <w:tcPr>
            <w:tcW w:type="dxa" w:w="540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利多卡因-丙胺卡因乳膏用于诊室提肌触发点注射镇痛</w:t>
            </w:r>
          </w:p>
          <w:p>
            <w:pPr>
              <w:spacing w:after="0" w:before="0" w:line="320"/>
            </w:pPr>
            <w:r>
              <w:rPr>
                <w:rFonts w:ascii="Microsoft YaHei UI" w:cs="Microsoft YaHei UI" w:eastAsia="Microsoft YaHei UI" w:hAnsi="Microsoft YaHei UI"/>
                <w:color w:val="5F706E"/>
                <w:sz w:val="20"/>
                <w:szCs w:val="20"/>
              </w:rPr>
              <w:t xml:space="preserve">ClinicalTrials.gov 研究：利多卡因-丙胺卡因乳膏用于诊室提肌触发点注射镇痛；NCT：NCT07778043；状态：尚未招募；阶段：4期；适应症/疾病：肌面痛；骨盆痛；首次发布：2026-08-21；最近更新：2026-08-21。</w:t>
            </w:r>
          </w:p>
          <w:p>
            <w:pPr>
              <w:spacing w:after="0" w:before="80"/>
            </w:pPr>
            <w:hyperlink w:history="1" r:id="rIdb2l-alstjfizkfpwmt-cd">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局部竞品；利多卡因贴剂</w:t>
            </w:r>
          </w:p>
          <w:p>
            <w:pPr>
              <w:spacing w:after="0" w:before="0" w:line="320"/>
            </w:pPr>
            <w:r>
              <w:rPr>
                <w:rFonts w:ascii="Microsoft YaHei UI" w:cs="Microsoft YaHei UI" w:eastAsia="Microsoft YaHei UI" w:hAnsi="Microsoft YaHei UI"/>
                <w:color w:val="152625"/>
                <w:sz w:val="20"/>
                <w:szCs w:val="20"/>
              </w:rPr>
              <w:t xml:space="preserve">局部神经痛替代；建议查看研究设计、入排标准和终点，判断对乐瑞卡或同机制竞品监测的影响。</w:t>
            </w:r>
          </w:p>
        </w:tc>
      </w:tr>
      <w:tr>
        <w:trPr>
          <w:cantSplit/>
        </w:trPr>
        <w:tc>
          <w:tcPr>
            <w:tcW w:type="dxa" w:w="1450"/>
            <w:shd w:fill="F5F8F7"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2026-08-12</w:t>
            </w:r>
          </w:p>
          <w:p>
            <w:pPr>
              <w:spacing w:after="60" w:before="0" w:line="340"/>
            </w:pPr>
            <w:r>
              <w:rPr>
                <w:rFonts w:ascii="Microsoft YaHei UI" w:cs="Microsoft YaHei UI" w:eastAsia="Microsoft YaHei UI" w:hAnsi="Microsoft YaHei UI"/>
                <w:color w:val="5F706E"/>
                <w:sz w:val="22"/>
                <w:szCs w:val="22"/>
              </w:rPr>
              <w:t xml:space="preserve">Clinical</w:t>
            </w:r>
          </w:p>
          <w:p>
            <w:pPr>
              <w:spacing w:after="0" w:before="0" w:line="340"/>
            </w:pPr>
            <w:r>
              <w:rPr>
                <w:rFonts w:ascii="Microsoft YaHei UI" w:cs="Microsoft YaHei UI" w:eastAsia="Microsoft YaHei UI" w:hAnsi="Microsoft YaHei UI"/>
                <w:color w:val="0B5C55"/>
                <w:sz w:val="18"/>
                <w:szCs w:val="18"/>
              </w:rPr>
              <w:t xml:space="preserve">高证据 / 建议跟进</w:t>
            </w:r>
          </w:p>
        </w:tc>
        <w:tc>
          <w:tcPr>
            <w:tcW w:type="dxa" w:w="540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通过中枢神经系统参与进行个性化镇痛，以释放表现</w:t>
            </w:r>
          </w:p>
          <w:p>
            <w:pPr>
              <w:spacing w:after="0" w:before="0" w:line="320"/>
            </w:pPr>
            <w:r>
              <w:rPr>
                <w:rFonts w:ascii="Microsoft YaHei UI" w:cs="Microsoft YaHei UI" w:eastAsia="Microsoft YaHei UI" w:hAnsi="Microsoft YaHei UI"/>
                <w:color w:val="5F706E"/>
                <w:sz w:val="20"/>
                <w:szCs w:val="20"/>
              </w:rPr>
              <w:t xml:space="preserve">ClinicalTrials.gov 研究：通过中枢神经系统参与进行个性化镇痛，以释放表现；NCT：NCT07759336；状态：尚未招募；阶段：4期；适应症/疾病：膝骨关节炎（膝关节OA）；慢性疼痛；慢性膝关节疼痛；首次发布：2026-08-12；最近更新：2026-08-12。</w:t>
            </w:r>
          </w:p>
          <w:p>
            <w:pPr>
              <w:spacing w:after="0" w:before="80"/>
            </w:pPr>
            <w:hyperlink w:history="1" r:id="rIdyjqs_uftqghnpwrewfxqy">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机制竞品；Cymbalta</w:t>
            </w:r>
          </w:p>
          <w:p>
            <w:pPr>
              <w:spacing w:after="0" w:before="0" w:line="320"/>
            </w:pPr>
            <w:r>
              <w:rPr>
                <w:rFonts w:ascii="Microsoft YaHei UI" w:cs="Microsoft YaHei UI" w:eastAsia="Microsoft YaHei UI" w:hAnsi="Microsoft YaHei UI"/>
                <w:color w:val="152625"/>
                <w:sz w:val="20"/>
                <w:szCs w:val="20"/>
              </w:rPr>
              <w:t xml:space="preserve">神经病理性疼痛/纤维肌痛替代；建议查看研究设计、入排标准和终点，判断对乐瑞卡或同机制竞品监测的影响。</w:t>
            </w:r>
          </w:p>
        </w:tc>
      </w:tr>
      <w:tr>
        <w:trPr>
          <w:cantSplit/>
        </w:trPr>
        <w:tc>
          <w:tcPr>
            <w:tcW w:type="dxa" w:w="1450"/>
            <w:shd w:fill="FFFFFF"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2026-08-19</w:t>
            </w:r>
          </w:p>
          <w:p>
            <w:pPr>
              <w:spacing w:after="60" w:before="0" w:line="340"/>
            </w:pPr>
            <w:r>
              <w:rPr>
                <w:rFonts w:ascii="Microsoft YaHei UI" w:cs="Microsoft YaHei UI" w:eastAsia="Microsoft YaHei UI" w:hAnsi="Microsoft YaHei UI"/>
                <w:color w:val="5F706E"/>
                <w:sz w:val="22"/>
                <w:szCs w:val="22"/>
              </w:rPr>
              <w:t xml:space="preserve">Clinical</w:t>
            </w:r>
          </w:p>
          <w:p>
            <w:pPr>
              <w:spacing w:after="0" w:before="0" w:line="340"/>
            </w:pPr>
            <w:r>
              <w:rPr>
                <w:rFonts w:ascii="Microsoft YaHei UI" w:cs="Microsoft YaHei UI" w:eastAsia="Microsoft YaHei UI" w:hAnsi="Microsoft YaHei UI"/>
                <w:color w:val="0B5C55"/>
                <w:sz w:val="18"/>
                <w:szCs w:val="18"/>
              </w:rPr>
              <w:t xml:space="preserve">高证据 / 建议跟进</w:t>
            </w:r>
          </w:p>
        </w:tc>
        <w:tc>
          <w:tcPr>
            <w:tcW w:type="dxa" w:w="540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A 2x2 Factorial, Randomized, Open-label Trial to Evaluate Neuromodulators and Cough Control Therapy in Patients With Refractory or Unexplained Chronic Cough</w:t>
            </w:r>
          </w:p>
          <w:p>
            <w:pPr>
              <w:spacing w:after="0" w:before="0" w:line="320"/>
            </w:pPr>
            <w:r>
              <w:rPr>
                <w:rFonts w:ascii="Microsoft YaHei UI" w:cs="Microsoft YaHei UI" w:eastAsia="Microsoft YaHei UI" w:hAnsi="Microsoft YaHei UI"/>
                <w:color w:val="5F706E"/>
                <w:sz w:val="20"/>
                <w:szCs w:val="20"/>
              </w:rPr>
              <w:t xml:space="preserve">ClinicalTrials.gov 研究：A 2x2 Factorial, Randomized, Open-label Trial to Evaluate Neuromodulators and Cough Control Therapy in Patients With Refractory or Unexplained Chronic Cough；NCT：NCT07288528；状态：尚未招募；阶段：4期；适应症/疾病：咳嗽；顽固性慢性咳嗽；不明原因的慢性咳嗽；咳嗽过敏综合征；慢性咳嗽；首次发布：2025-12-17；最近更新：2026-08-19。</w:t>
            </w:r>
          </w:p>
          <w:p>
            <w:pPr>
              <w:spacing w:after="0" w:before="80"/>
            </w:pPr>
            <w:hyperlink w:history="1" r:id="rIdzcaluehypt3nuzufdlexo">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本品/同成分；乐瑞卡/Lyrica</w:t>
            </w:r>
          </w:p>
          <w:p>
            <w:pPr>
              <w:spacing w:after="0" w:before="0" w:line="320"/>
            </w:pPr>
            <w:r>
              <w:rPr>
                <w:rFonts w:ascii="Microsoft YaHei UI" w:cs="Microsoft YaHei UI" w:eastAsia="Microsoft YaHei UI" w:hAnsi="Microsoft YaHei UI"/>
                <w:color w:val="152625"/>
                <w:sz w:val="20"/>
                <w:szCs w:val="20"/>
              </w:rPr>
              <w:t xml:space="preserve">同成分和神经病理性疼痛竞争；建议查看研究设计、入排标准和终点，判断对乐瑞卡或同机制竞品监测的影响。</w:t>
            </w:r>
          </w:p>
        </w:tc>
      </w:tr>
      <w:tr>
        <w:trPr>
          <w:cantSplit/>
        </w:trPr>
        <w:tc>
          <w:tcPr>
            <w:tcW w:type="dxa" w:w="1450"/>
            <w:shd w:fill="F5F8F7"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2026-08-11</w:t>
            </w:r>
          </w:p>
          <w:p>
            <w:pPr>
              <w:spacing w:after="60" w:before="0" w:line="340"/>
            </w:pPr>
            <w:r>
              <w:rPr>
                <w:rFonts w:ascii="Microsoft YaHei UI" w:cs="Microsoft YaHei UI" w:eastAsia="Microsoft YaHei UI" w:hAnsi="Microsoft YaHei UI"/>
                <w:color w:val="5F706E"/>
                <w:sz w:val="22"/>
                <w:szCs w:val="22"/>
              </w:rPr>
              <w:t xml:space="preserve">Clinical</w:t>
            </w:r>
          </w:p>
          <w:p>
            <w:pPr>
              <w:spacing w:after="0" w:before="0" w:line="340"/>
            </w:pPr>
            <w:r>
              <w:rPr>
                <w:rFonts w:ascii="Microsoft YaHei UI" w:cs="Microsoft YaHei UI" w:eastAsia="Microsoft YaHei UI" w:hAnsi="Microsoft YaHei UI"/>
                <w:color w:val="9A5D15"/>
                <w:sz w:val="18"/>
                <w:szCs w:val="18"/>
              </w:rPr>
              <w:t xml:space="preserve">中证据 / 建议跟进</w:t>
            </w:r>
          </w:p>
        </w:tc>
        <w:tc>
          <w:tcPr>
            <w:tcW w:type="dxa" w:w="540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评价HL-1186片治疗带状疱疹后神经痛疗效和安全性的临床试验</w:t>
            </w:r>
          </w:p>
          <w:p>
            <w:pPr>
              <w:spacing w:after="0" w:before="0" w:line="320"/>
            </w:pPr>
            <w:r>
              <w:rPr>
                <w:rFonts w:ascii="Microsoft YaHei UI" w:cs="Microsoft YaHei UI" w:eastAsia="Microsoft YaHei UI" w:hAnsi="Microsoft YaHei UI"/>
                <w:color w:val="5F706E"/>
                <w:sz w:val="20"/>
                <w:szCs w:val="20"/>
              </w:rPr>
              <w:t xml:space="preserve">ClinicalTrials.gov 研究：评价HL-1186片治疗带状疱疹后神经痛疗效和安全性的临床试验；NCT：NCT07758920；状态：招募中；阶段：2期；适应症/疾病：带状疱疹后神经痛 ( PHN )；首次发布：2026-08-11；最近更新：2026-08-11。</w:t>
            </w:r>
          </w:p>
          <w:p>
            <w:pPr>
              <w:spacing w:after="0" w:before="80"/>
            </w:pPr>
            <w:hyperlink w:history="1" r:id="rId1qmpwqm4xzlahilocvfbq">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本品/同成分；乐瑞卡/Lyrica</w:t>
            </w:r>
          </w:p>
          <w:p>
            <w:pPr>
              <w:spacing w:after="0" w:before="0" w:line="320"/>
            </w:pPr>
            <w:r>
              <w:rPr>
                <w:rFonts w:ascii="Microsoft YaHei UI" w:cs="Microsoft YaHei UI" w:eastAsia="Microsoft YaHei UI" w:hAnsi="Microsoft YaHei UI"/>
                <w:color w:val="152625"/>
                <w:sz w:val="20"/>
                <w:szCs w:val="20"/>
              </w:rPr>
              <w:t xml:space="preserve">同成分和神经病理性疼痛竞争；建议查看研究设计、入排标准和终点，判断对乐瑞卡或同机制竞品监测的影响。</w:t>
            </w:r>
          </w:p>
        </w:tc>
      </w:tr>
      <w:tr>
        <w:trPr>
          <w:cantSplit/>
        </w:trPr>
        <w:tc>
          <w:tcPr>
            <w:tcW w:type="dxa" w:w="1450"/>
            <w:shd w:fill="FFFFFF"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2026-08-10</w:t>
            </w:r>
          </w:p>
          <w:p>
            <w:pPr>
              <w:spacing w:after="60" w:before="0" w:line="340"/>
            </w:pPr>
            <w:r>
              <w:rPr>
                <w:rFonts w:ascii="Microsoft YaHei UI" w:cs="Microsoft YaHei UI" w:eastAsia="Microsoft YaHei UI" w:hAnsi="Microsoft YaHei UI"/>
                <w:color w:val="5F706E"/>
                <w:sz w:val="22"/>
                <w:szCs w:val="22"/>
              </w:rPr>
              <w:t xml:space="preserve">Clinical</w:t>
            </w:r>
          </w:p>
          <w:p>
            <w:pPr>
              <w:spacing w:after="0" w:before="0" w:line="340"/>
            </w:pPr>
            <w:r>
              <w:rPr>
                <w:rFonts w:ascii="Microsoft YaHei UI" w:cs="Microsoft YaHei UI" w:eastAsia="Microsoft YaHei UI" w:hAnsi="Microsoft YaHei UI"/>
                <w:color w:val="9A5D15"/>
                <w:sz w:val="18"/>
                <w:szCs w:val="18"/>
              </w:rPr>
              <w:t xml:space="preserve">中证据 / 建议跟进</w:t>
            </w:r>
          </w:p>
        </w:tc>
        <w:tc>
          <w:tcPr>
            <w:tcW w:type="dxa" w:w="540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加巴喷丁和普瑞巴林对周围神经性疼痛炎症和心脏功能的影响</w:t>
            </w:r>
          </w:p>
          <w:p>
            <w:pPr>
              <w:spacing w:after="0" w:before="0" w:line="320"/>
            </w:pPr>
            <w:r>
              <w:rPr>
                <w:rFonts w:ascii="Microsoft YaHei UI" w:cs="Microsoft YaHei UI" w:eastAsia="Microsoft YaHei UI" w:hAnsi="Microsoft YaHei UI"/>
                <w:color w:val="5F706E"/>
                <w:sz w:val="20"/>
                <w:szCs w:val="20"/>
              </w:rPr>
              <w:t xml:space="preserve">ClinicalTrials.gov 研究：加巴喷丁和普瑞巴林对周围神经性疼痛炎症和心脏功能的影响；NCT：NCT07755514；状态：尚未招募；阶段：不适用；适应症/疾病：周围神经性疼痛；首次发布：2026-08-10；最近更新：2026-08-10。</w:t>
            </w:r>
          </w:p>
          <w:p>
            <w:pPr>
              <w:spacing w:after="0" w:before="80"/>
            </w:pPr>
            <w:hyperlink w:history="1" r:id="rIdajzchmuv5zs7h6xzwq44i">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本品/同成分；乐瑞卡/Lyrica</w:t>
            </w:r>
          </w:p>
          <w:p>
            <w:pPr>
              <w:spacing w:after="0" w:before="0" w:line="320"/>
            </w:pPr>
            <w:r>
              <w:rPr>
                <w:rFonts w:ascii="Microsoft YaHei UI" w:cs="Microsoft YaHei UI" w:eastAsia="Microsoft YaHei UI" w:hAnsi="Microsoft YaHei UI"/>
                <w:color w:val="152625"/>
                <w:sz w:val="20"/>
                <w:szCs w:val="20"/>
              </w:rPr>
              <w:t xml:space="preserve">同成分和神经病理性疼痛竞争；建议查看研究设计、入排标准和终点，判断对乐瑞卡或同机制竞品监测的影响。</w:t>
            </w:r>
          </w:p>
        </w:tc>
      </w:tr>
      <w:tr>
        <w:trPr>
          <w:cantSplit/>
        </w:trPr>
        <w:tc>
          <w:tcPr>
            <w:tcW w:type="dxa" w:w="1450"/>
            <w:shd w:fill="F5F8F7"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2026-08-10</w:t>
            </w:r>
          </w:p>
          <w:p>
            <w:pPr>
              <w:spacing w:after="60" w:before="0" w:line="340"/>
            </w:pPr>
            <w:r>
              <w:rPr>
                <w:rFonts w:ascii="Microsoft YaHei UI" w:cs="Microsoft YaHei UI" w:eastAsia="Microsoft YaHei UI" w:hAnsi="Microsoft YaHei UI"/>
                <w:color w:val="5F706E"/>
                <w:sz w:val="22"/>
                <w:szCs w:val="22"/>
              </w:rPr>
              <w:t xml:space="preserve">Clinical</w:t>
            </w:r>
          </w:p>
          <w:p>
            <w:pPr>
              <w:spacing w:after="0" w:before="0" w:line="340"/>
            </w:pPr>
            <w:r>
              <w:rPr>
                <w:rFonts w:ascii="Microsoft YaHei UI" w:cs="Microsoft YaHei UI" w:eastAsia="Microsoft YaHei UI" w:hAnsi="Microsoft YaHei UI"/>
                <w:color w:val="0B5C55"/>
                <w:sz w:val="18"/>
                <w:szCs w:val="18"/>
              </w:rPr>
              <w:t xml:space="preserve">高证据 / 建议跟进</w:t>
            </w:r>
          </w:p>
        </w:tc>
        <w:tc>
          <w:tcPr>
            <w:tcW w:type="dxa" w:w="540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腰椎间盘突出术后地塞米松和普瑞巴林的协同镇痛作用</w:t>
            </w:r>
          </w:p>
          <w:p>
            <w:pPr>
              <w:spacing w:after="0" w:before="0" w:line="320"/>
            </w:pPr>
            <w:r>
              <w:rPr>
                <w:rFonts w:ascii="Microsoft YaHei UI" w:cs="Microsoft YaHei UI" w:eastAsia="Microsoft YaHei UI" w:hAnsi="Microsoft YaHei UI"/>
                <w:color w:val="5F706E"/>
                <w:sz w:val="20"/>
                <w:szCs w:val="20"/>
              </w:rPr>
              <w:t xml:space="preserve">ClinicalTrials.gov 研究：腰椎间盘突出术后地塞米松和普瑞巴林的协同镇痛作用；NCT：NCT01811251；状态：已完成；阶段：3期；适应症/疾病：接受腰椎间盘突出手术的患者；首次发布：2013-03-14；最近更新：2026-08-10。</w:t>
            </w:r>
          </w:p>
          <w:p>
            <w:pPr>
              <w:spacing w:after="0" w:before="80"/>
            </w:pPr>
            <w:hyperlink w:history="1" r:id="rId2jvgvlm70zbw82cyknale">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本品/同成分；乐瑞卡/Lyrica</w:t>
            </w:r>
          </w:p>
          <w:p>
            <w:pPr>
              <w:spacing w:after="0" w:before="0" w:line="320"/>
            </w:pPr>
            <w:r>
              <w:rPr>
                <w:rFonts w:ascii="Microsoft YaHei UI" w:cs="Microsoft YaHei UI" w:eastAsia="Microsoft YaHei UI" w:hAnsi="Microsoft YaHei UI"/>
                <w:color w:val="152625"/>
                <w:sz w:val="20"/>
                <w:szCs w:val="20"/>
              </w:rPr>
              <w:t xml:space="preserve">同成分和神经病理性疼痛竞争；建议查看研究设计、入排标准和终点，判断对乐瑞卡或同机制竞品监测的影响。</w:t>
            </w:r>
          </w:p>
        </w:tc>
      </w:tr>
      <w:tr>
        <w:trPr>
          <w:cantSplit/>
        </w:trPr>
        <w:tc>
          <w:tcPr>
            <w:tcW w:type="dxa" w:w="1450"/>
            <w:shd w:fill="FFFFFF"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2026-08-07</w:t>
            </w:r>
          </w:p>
          <w:p>
            <w:pPr>
              <w:spacing w:after="60" w:before="0" w:line="340"/>
            </w:pPr>
            <w:r>
              <w:rPr>
                <w:rFonts w:ascii="Microsoft YaHei UI" w:cs="Microsoft YaHei UI" w:eastAsia="Microsoft YaHei UI" w:hAnsi="Microsoft YaHei UI"/>
                <w:color w:val="5F706E"/>
                <w:sz w:val="22"/>
                <w:szCs w:val="22"/>
              </w:rPr>
              <w:t xml:space="preserve">Clinical</w:t>
            </w:r>
          </w:p>
          <w:p>
            <w:pPr>
              <w:spacing w:after="0" w:before="0" w:line="340"/>
            </w:pPr>
            <w:r>
              <w:rPr>
                <w:rFonts w:ascii="Microsoft YaHei UI" w:cs="Microsoft YaHei UI" w:eastAsia="Microsoft YaHei UI" w:hAnsi="Microsoft YaHei UI"/>
                <w:color w:val="9A5D15"/>
                <w:sz w:val="18"/>
                <w:szCs w:val="18"/>
              </w:rPr>
              <w:t xml:space="preserve">中证据 / 建议跟进</w:t>
            </w:r>
          </w:p>
        </w:tc>
        <w:tc>
          <w:tcPr>
            <w:tcW w:type="dxa" w:w="540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普瑞巴林联合教育和行为干预治疗膀胱疼痛综合征/间质性膀胱炎的疗效和安全性</w:t>
            </w:r>
          </w:p>
          <w:p>
            <w:pPr>
              <w:spacing w:after="0" w:before="0" w:line="320"/>
            </w:pPr>
            <w:r>
              <w:rPr>
                <w:rFonts w:ascii="Microsoft YaHei UI" w:cs="Microsoft YaHei UI" w:eastAsia="Microsoft YaHei UI" w:hAnsi="Microsoft YaHei UI"/>
                <w:color w:val="5F706E"/>
                <w:sz w:val="20"/>
                <w:szCs w:val="20"/>
              </w:rPr>
              <w:t xml:space="preserve">ClinicalTrials.gov 研究：普瑞巴林联合教育和行为干预治疗膀胱疼痛综合征/间质性膀胱炎的疗效和安全性；NCT：NCT07752134；状态：尚未招募；阶段：1期；适应症/疾病：膀胱疼痛综合征；普瑞巴林；教育行为干预；尿急；首次发布：2026-08-07；最近更新：2026-08-07。</w:t>
            </w:r>
          </w:p>
          <w:p>
            <w:pPr>
              <w:spacing w:after="0" w:before="80"/>
            </w:pPr>
            <w:hyperlink w:history="1" r:id="rIdhuos7wuuje-0lzif_xmpo">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本品/同成分；乐瑞卡/Lyrica</w:t>
            </w:r>
          </w:p>
          <w:p>
            <w:pPr>
              <w:spacing w:after="0" w:before="0" w:line="320"/>
            </w:pPr>
            <w:r>
              <w:rPr>
                <w:rFonts w:ascii="Microsoft YaHei UI" w:cs="Microsoft YaHei UI" w:eastAsia="Microsoft YaHei UI" w:hAnsi="Microsoft YaHei UI"/>
                <w:color w:val="152625"/>
                <w:sz w:val="20"/>
                <w:szCs w:val="20"/>
              </w:rPr>
              <w:t xml:space="preserve">同成分和神经病理性疼痛竞争；建议查看研究设计、入排标准和终点，判断对乐瑞卡或同机制竞品监测的影响。</w:t>
            </w:r>
          </w:p>
        </w:tc>
      </w:tr>
      <w:tr>
        <w:trPr>
          <w:cantSplit/>
        </w:trPr>
        <w:tc>
          <w:tcPr>
            <w:tcW w:type="dxa" w:w="1450"/>
            <w:shd w:fill="F5F8F7"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2026-08-21</w:t>
            </w:r>
          </w:p>
          <w:p>
            <w:pPr>
              <w:spacing w:after="60" w:before="0" w:line="340"/>
            </w:pPr>
            <w:r>
              <w:rPr>
                <w:rFonts w:ascii="Microsoft YaHei UI" w:cs="Microsoft YaHei UI" w:eastAsia="Microsoft YaHei UI" w:hAnsi="Microsoft YaHei UI"/>
                <w:color w:val="5F706E"/>
                <w:sz w:val="22"/>
                <w:szCs w:val="22"/>
              </w:rPr>
              <w:t xml:space="preserve">Clinical</w:t>
            </w:r>
          </w:p>
          <w:p>
            <w:pPr>
              <w:spacing w:after="0" w:before="0" w:line="340"/>
            </w:pPr>
            <w:r>
              <w:rPr>
                <w:rFonts w:ascii="Microsoft YaHei UI" w:cs="Microsoft YaHei UI" w:eastAsia="Microsoft YaHei UI" w:hAnsi="Microsoft YaHei UI"/>
                <w:color w:val="0B5C55"/>
                <w:sz w:val="18"/>
                <w:szCs w:val="18"/>
              </w:rPr>
              <w:t xml:space="preserve">高证据 / 建议跟进</w:t>
            </w:r>
          </w:p>
        </w:tc>
        <w:tc>
          <w:tcPr>
            <w:tcW w:type="dxa" w:w="540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具有消遣性镇静药物使用经验的健康、非药物依赖个体口服加巴喷丁的滥用可能性</w:t>
            </w:r>
          </w:p>
          <w:p>
            <w:pPr>
              <w:spacing w:after="0" w:before="0" w:line="320"/>
            </w:pPr>
            <w:r>
              <w:rPr>
                <w:rFonts w:ascii="Microsoft YaHei UI" w:cs="Microsoft YaHei UI" w:eastAsia="Microsoft YaHei UI" w:hAnsi="Microsoft YaHei UI"/>
                <w:color w:val="5F706E"/>
                <w:sz w:val="20"/>
                <w:szCs w:val="20"/>
              </w:rPr>
              <w:t xml:space="preserve">ClinicalTrials.gov 研究：具有消遣性镇静药物使用经验的健康、非药物依赖个体口服加巴喷丁的滥用可能性；NCT：NCT07777965；状态：招募中；阶段：4期；适应症/疾病：健康、不依赖、娱乐性镇静剂使用者；首次发布：2026-08-21；最近更新：2026-08-21。</w:t>
            </w:r>
          </w:p>
          <w:p>
            <w:pPr>
              <w:spacing w:after="0" w:before="80"/>
            </w:pPr>
            <w:hyperlink w:history="1" r:id="rIdxcnxrlykyyax0xj4_e9ek">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直接竞品；Neurontin</w:t>
            </w:r>
          </w:p>
          <w:p>
            <w:pPr>
              <w:spacing w:after="0" w:before="0" w:line="320"/>
            </w:pPr>
            <w:r>
              <w:rPr>
                <w:rFonts w:ascii="Microsoft YaHei UI" w:cs="Microsoft YaHei UI" w:eastAsia="Microsoft YaHei UI" w:hAnsi="Microsoft YaHei UI"/>
                <w:color w:val="152625"/>
                <w:sz w:val="20"/>
                <w:szCs w:val="20"/>
              </w:rPr>
              <w:t xml:space="preserve">同机制替代；建议查看研究设计、入排标准和终点，判断对乐瑞卡或同机制竞品监测的影响。</w:t>
            </w:r>
          </w:p>
        </w:tc>
      </w:tr>
    </w:tbl>
    <w:p>
      <w:pPr>
        <w:pStyle w:val="Heading1"/>
        <w:keepNext/>
        <w:spacing w:after="160" w:before="300" w:line="340"/>
      </w:pPr>
      <w:r>
        <w:rPr>
          <w:rFonts w:ascii="Microsoft YaHei UI" w:cs="Microsoft YaHei UI" w:eastAsia="Microsoft YaHei UI" w:hAnsi="Microsoft YaHei UI"/>
          <w:color w:val="152625"/>
          <w:sz w:val="22"/>
          <w:szCs w:val="22"/>
        </w:rPr>
        <w:t xml:space="preserve">KOL / 专家动态</w:t>
      </w:r>
    </w:p>
    <w:tbl>
      <w:tblPr>
        <w:tblW w:type="dxa" w:w="10000"/>
        <w:tblBorders>
          <w:top w:val="single" w:color="D6E2DF" w:sz="1"/>
          <w:left w:val="single" w:color="D6E2DF" w:sz="1"/>
          <w:bottom w:val="single" w:color="D6E2DF" w:sz="1"/>
          <w:right w:val="single" w:color="D6E2DF" w:sz="1"/>
          <w:insideH w:val="single" w:color="D6E2DF" w:sz="1"/>
          <w:insideV w:val="single" w:color="D6E2DF" w:sz="1"/>
        </w:tblBorders>
      </w:tblPr>
      <w:tblGrid>
        <w:gridCol w:w="1450"/>
        <w:gridCol w:w="8550"/>
      </w:tblGrid>
      <w:tr>
        <w:trPr>
          <w:cantSplit/>
        </w:trPr>
        <w:tc>
          <w:tcPr>
            <w:tcW w:type="dxa" w:w="1450"/>
            <w:shd w:fill="FFFFFF" w:val="clear"/>
            <w:tcMar>
              <w:top w:type="dxa" w:w="150"/>
              <w:left w:type="dxa" w:w="170"/>
              <w:bottom w:type="dxa" w:w="150"/>
              <w:right w:type="dxa" w:w="170"/>
            </w:tcMar>
            <w:vAlign w:val="center"/>
          </w:tcPr>
          <w:p>
            <w:pPr>
              <w:spacing w:after="50" w:before="0" w:line="340"/>
            </w:pPr>
            <w:r>
              <w:rPr>
                <w:rFonts w:ascii="Microsoft YaHei UI" w:cs="Microsoft YaHei UI" w:eastAsia="Microsoft YaHei UI" w:hAnsi="Microsoft YaHei UI"/>
                <w:b/>
                <w:bCs/>
                <w:color w:val="152625"/>
                <w:sz w:val="22"/>
                <w:szCs w:val="22"/>
              </w:rPr>
              <w:t xml:space="preserve">2026-08-25</w:t>
            </w:r>
          </w:p>
          <w:p>
            <w:pPr>
              <w:spacing w:after="0" w:before="0" w:line="340"/>
            </w:pPr>
            <w:r>
              <w:rPr>
                <w:rFonts w:ascii="Microsoft YaHei UI" w:cs="Microsoft YaHei UI" w:eastAsia="Microsoft YaHei UI" w:hAnsi="Microsoft YaHei UI"/>
                <w:color w:val="5F706E"/>
                <w:sz w:val="22"/>
                <w:szCs w:val="22"/>
              </w:rPr>
              <w:t xml:space="preserve">PubMed</w:t>
            </w:r>
          </w:p>
        </w:tc>
        <w:tc>
          <w:tcPr>
            <w:tcW w:type="dxa" w:w="8550"/>
            <w:shd w:fill="FFFFFF" w:val="clear"/>
            <w:tcMar>
              <w:top w:type="dxa" w:w="150"/>
              <w:left w:type="dxa" w:w="170"/>
              <w:bottom w:type="dxa" w:w="150"/>
              <w:right w:type="dxa" w:w="170"/>
            </w:tcMar>
            <w:vAlign w:val="top"/>
          </w:tcPr>
          <w:p>
            <w:pPr>
              <w:spacing w:after="70" w:before="0" w:line="340"/>
            </w:pPr>
            <w:r>
              <w:rPr>
                <w:rFonts w:ascii="Microsoft YaHei UI" w:cs="Microsoft YaHei UI" w:eastAsia="Microsoft YaHei UI" w:hAnsi="Microsoft YaHei UI"/>
                <w:b/>
                <w:bCs/>
                <w:color w:val="0B5C55"/>
                <w:sz w:val="22"/>
                <w:szCs w:val="22"/>
              </w:rPr>
              <w:t xml:space="preserve">罗芳｜首都医科大学附属北京天坛医院</w:t>
            </w:r>
          </w:p>
          <w:p>
            <w:pPr>
              <w:spacing w:after="70" w:before="0" w:line="340"/>
            </w:pPr>
            <w:r>
              <w:rPr>
                <w:rFonts w:ascii="Microsoft YaHei UI" w:cs="Microsoft YaHei UI" w:eastAsia="Microsoft YaHei UI" w:hAnsi="Microsoft YaHei UI"/>
                <w:b/>
                <w:bCs/>
                <w:color w:val="152625"/>
                <w:sz w:val="22"/>
                <w:szCs w:val="22"/>
              </w:rPr>
              <w:t xml:space="preserve">米洛巴林对纤维肌痛患者的疗效和安全性：多中心、前瞻性、随机、开放标签、盲终点 (PROBE) 研究方案。</w:t>
            </w:r>
          </w:p>
          <w:p>
            <w:pPr>
              <w:spacing w:after="0" w:before="0" w:line="320"/>
            </w:pPr>
            <w:r>
              <w:rPr>
                <w:rFonts w:ascii="Microsoft YaHei UI" w:cs="Microsoft YaHei UI" w:eastAsia="Microsoft YaHei UI" w:hAnsi="Microsoft YaHei UI"/>
                <w:color w:val="5F706E"/>
                <w:sz w:val="20"/>
                <w:szCs w:val="20"/>
              </w:rPr>
              <w:t xml:space="preserve">研究主题：米洛巴林对纤维肌痛患者的疗效和安全性：多中心、前瞻性、随机、开放标签、盲终点 (PROBE) 研究方案。。摘要要点：简介：纤维肌痛 (FM) 是一种普遍存在的慢性疼痛疾病，严重损害生活质量。目前 FM 的治疗方法仍然存在一些缺点和局限性。普瑞巴林是一种标准的药物治疗方法，可以缓解一些患者的症状，但与剂量依赖性不良事件 (AE) 和不完全疗效相关，凸显了临床需求未得到满足。米洛巴林作为一种与普瑞巴林相似但具有独特结合特性的新型 α2δ 配体，在其他神经病理性疼痛的临床前研究和试验中显示出良好的安全性和潜在的镇痛作用。然而，有关其治疗 FM 疗效的数据有限，并且没有研究直接比较米洛巴林和普瑞巴林在亚洲 FM 人群中的效果。方法和分析：这是一项前瞻性、多中心、随机、开放标签、盲法终点试验，旨在比较米洛巴林与普瑞巴林治疗成人 FM 患者疼痛和其他核心症状的有效性和安全性。本研究将在北京天坛医院、南昌大学第一附属医院、重庆大学三峡医院、陆军军医大学第一附属医院和延边大学附属医院疼痛管理科进行。根据2016年修订的2010/2011年FM诊断标准诊断为FM的年龄超过18岁的患者将被纳入。674 名符合条件的中重度 FM 患者将按 1:1 的比例随机分配到普瑞巴林组或米洛巴林组。治疗将包括根据治疗反应和耐受性进行个体化剂量滴定。所有参与者都将接受为期 12 周的跟踪。主要结果是 12 周时疼痛减轻至少 50% 的患者比例。</w:t>
            </w:r>
          </w:p>
          <w:p>
            <w:pPr>
              <w:spacing w:after="0" w:before="80"/>
            </w:pPr>
            <w:hyperlink w:history="1" r:id="rIdrwcjii9zt3_ctvnzxngqt">
              <w:r>
                <w:rPr>
                  <w:rFonts w:ascii="Microsoft YaHei UI" w:cs="Microsoft YaHei UI" w:eastAsia="Microsoft YaHei UI" w:hAnsi="Microsoft YaHei UI"/>
                  <w:color w:val="1B6CA8"/>
                  <w:sz w:val="18"/>
                  <w:szCs w:val="18"/>
                  <w:u w:val="single"/>
                </w:rPr>
                <w:t xml:space="preserve">打开原始来源</w:t>
              </w:r>
            </w:hyperlink>
          </w:p>
        </w:tc>
      </w:tr>
      <w:tr>
        <w:trPr>
          <w:cantSplit/>
        </w:trPr>
        <w:tc>
          <w:tcPr>
            <w:tcW w:type="dxa" w:w="1450"/>
            <w:shd w:fill="F5F8F7" w:val="clear"/>
            <w:tcMar>
              <w:top w:type="dxa" w:w="150"/>
              <w:left w:type="dxa" w:w="170"/>
              <w:bottom w:type="dxa" w:w="150"/>
              <w:right w:type="dxa" w:w="170"/>
            </w:tcMar>
            <w:vAlign w:val="center"/>
          </w:tcPr>
          <w:p>
            <w:pPr>
              <w:spacing w:after="50" w:before="0" w:line="340"/>
            </w:pPr>
            <w:r>
              <w:rPr>
                <w:rFonts w:ascii="Microsoft YaHei UI" w:cs="Microsoft YaHei UI" w:eastAsia="Microsoft YaHei UI" w:hAnsi="Microsoft YaHei UI"/>
                <w:b/>
                <w:bCs/>
                <w:color w:val="152625"/>
                <w:sz w:val="22"/>
                <w:szCs w:val="22"/>
              </w:rPr>
              <w:t xml:space="preserve">2026-08-21</w:t>
            </w:r>
          </w:p>
          <w:p>
            <w:pPr>
              <w:spacing w:after="0" w:before="0" w:line="340"/>
            </w:pPr>
            <w:r>
              <w:rPr>
                <w:rFonts w:ascii="Microsoft YaHei UI" w:cs="Microsoft YaHei UI" w:eastAsia="Microsoft YaHei UI" w:hAnsi="Microsoft YaHei UI"/>
                <w:color w:val="5F706E"/>
                <w:sz w:val="22"/>
                <w:szCs w:val="22"/>
              </w:rPr>
              <w:t xml:space="preserve">PubMed</w:t>
            </w:r>
          </w:p>
        </w:tc>
        <w:tc>
          <w:tcPr>
            <w:tcW w:type="dxa" w:w="8550"/>
            <w:shd w:fill="F5F8F7" w:val="clear"/>
            <w:tcMar>
              <w:top w:type="dxa" w:w="150"/>
              <w:left w:type="dxa" w:w="170"/>
              <w:bottom w:type="dxa" w:w="150"/>
              <w:right w:type="dxa" w:w="170"/>
            </w:tcMar>
            <w:vAlign w:val="top"/>
          </w:tcPr>
          <w:p>
            <w:pPr>
              <w:spacing w:after="70" w:before="0" w:line="340"/>
            </w:pPr>
            <w:r>
              <w:rPr>
                <w:rFonts w:ascii="Microsoft YaHei UI" w:cs="Microsoft YaHei UI" w:eastAsia="Microsoft YaHei UI" w:hAnsi="Microsoft YaHei UI"/>
                <w:b/>
                <w:bCs/>
                <w:color w:val="0B5C55"/>
                <w:sz w:val="22"/>
                <w:szCs w:val="22"/>
              </w:rPr>
              <w:t xml:space="preserve">金毅｜南京大学医学院附属金陵医院</w:t>
            </w:r>
          </w:p>
          <w:p>
            <w:pPr>
              <w:spacing w:after="70" w:before="0" w:line="340"/>
            </w:pPr>
            <w:r>
              <w:rPr>
                <w:rFonts w:ascii="Microsoft YaHei UI" w:cs="Microsoft YaHei UI" w:eastAsia="Microsoft YaHei UI" w:hAnsi="Microsoft YaHei UI"/>
                <w:b/>
                <w:bCs/>
                <w:color w:val="152625"/>
                <w:sz w:val="22"/>
                <w:szCs w:val="22"/>
              </w:rPr>
              <w:t xml:space="preserve">三叉神经痛大语言模型患者教育的可读性和质量：一项横断面研究。</w:t>
            </w:r>
          </w:p>
          <w:p>
            <w:pPr>
              <w:spacing w:after="0" w:before="0" w:line="320"/>
            </w:pPr>
            <w:r>
              <w:rPr>
                <w:rFonts w:ascii="Microsoft YaHei UI" w:cs="Microsoft YaHei UI" w:eastAsia="Microsoft YaHei UI" w:hAnsi="Microsoft YaHei UI"/>
                <w:color w:val="5F706E"/>
                <w:sz w:val="20"/>
                <w:szCs w:val="20"/>
              </w:rPr>
              <w:t xml:space="preserve">研究主题：三叉神经痛大语言模型患者教育的可读性和质量：一项横断面研究。。摘要要点：大语言模型 (LLM) 越来越多地用于患者健康教育，但 LLM 生成的三叉神经痛 (TN) 信息的可读性和教育质量尚未得到充分评估。这项横断面基准研究比较了五个公开的法学硕士（豆宝、DeepSeek、文心一言、统一前文和 GPT-5）生成的 TN 教育内容。使用标准化提示向每个模型提出 20 个常见的 TN 问题，涵盖基本疾病知识、病因/危险因素、诊断、治疗和预防/康复。使用七个既定指数评估可读性，使用患者教育材料可理解性和可操作性评估工具 (PEMAT) 评估教育适宜性，并使用全球质量得分 (GQS) 评估整体信息质量。两名临床专家独立评估所有反应，并由一名高级评审员解决分歧。统计分析比较了模型性能、主题差异以及评估指标之间的相关性。在可读性、PEMAT 和 GQS 评分方面观察到模型之间存在显着差异。GPT-5 生成了语言上最复杂的回复，但在教育适宜性和信息质量方面获得了最高评级。相比之下，《文心一言》的文本可读性最高，但在 PEMAT 和 GQS 上得分普遍较低。内容类别影响可读性，预防/康复和病因/危险因素主题更难以阅读，而 PEMAT 和 GQS 在主题之间保持相对一致。可读性指数显示出很强的内部一致性，与 PEMAT 和 GQS 呈弱至中度正相关，而 PEMAT 和 GQS 则表现出中度正相关。这些发现表明，模型选择影响专家评价的教育适宜性和整体信息质量，而主题复杂性主要影响可读性。</w:t>
            </w:r>
          </w:p>
          <w:p>
            <w:pPr>
              <w:spacing w:after="0" w:before="80"/>
            </w:pPr>
            <w:hyperlink w:history="1" r:id="rIdoh6kw4tm8g_fl5fu_kegi">
              <w:r>
                <w:rPr>
                  <w:rFonts w:ascii="Microsoft YaHei UI" w:cs="Microsoft YaHei UI" w:eastAsia="Microsoft YaHei UI" w:hAnsi="Microsoft YaHei UI"/>
                  <w:color w:val="1B6CA8"/>
                  <w:sz w:val="18"/>
                  <w:szCs w:val="18"/>
                  <w:u w:val="single"/>
                </w:rPr>
                <w:t xml:space="preserve">打开原始来源</w:t>
              </w:r>
            </w:hyperlink>
          </w:p>
        </w:tc>
      </w:tr>
    </w:tbl>
    <w:p>
      <w:pPr>
        <w:pStyle w:val="Heading1"/>
        <w:keepNext/>
        <w:spacing w:after="160" w:before="300" w:line="340"/>
      </w:pPr>
      <w:r>
        <w:rPr>
          <w:rFonts w:ascii="Microsoft YaHei UI" w:cs="Microsoft YaHei UI" w:eastAsia="Microsoft YaHei UI" w:hAnsi="Microsoft YaHei UI"/>
          <w:color w:val="152625"/>
          <w:sz w:val="22"/>
          <w:szCs w:val="22"/>
        </w:rPr>
        <w:t xml:space="preserve">涉及分子 / 靶点</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利多卡因 / lidocaine / C14H22N2O（30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加巴喷丁 / gabapentin / C9H17NO2（26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普瑞巴林 / pregabalin / C8H17NO2（22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盐酸度洛西汀 / duloxetine hydrochloride / C18H20ClNOS（18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卡马西平 / carbamazepine / C15H12N2O（18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辣椒素 / capsaicin / C18H27NO3（13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拉莫三嗪 / lamotrigine / C9H7Cl2N5（11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盐酸文拉法辛 / venlafaxine hydrochloride / C17H28ClNO2（8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托吡酯 / topiramate / C12H21NO8S（8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拉考沙胺 / lacosamide / C13H18N2O3（7 条）</w:t>
      </w:r>
    </w:p>
    <w:p>
      <w:pPr>
        <w:pStyle w:val="Heading1"/>
        <w:keepNext/>
        <w:spacing w:after="160" w:before="300" w:line="340"/>
      </w:pPr>
      <w:r>
        <w:rPr>
          <w:rFonts w:ascii="Microsoft YaHei UI" w:cs="Microsoft YaHei UI" w:eastAsia="Microsoft YaHei UI" w:hAnsi="Microsoft YaHei UI"/>
          <w:color w:val="152625"/>
          <w:sz w:val="22"/>
          <w:szCs w:val="22"/>
        </w:rPr>
        <w:t xml:space="preserve">建议跟进</w:t>
      </w:r>
    </w:p>
    <w:p>
      <w:pPr>
        <w:pStyle w:val="ListParagraph"/>
        <w:numPr>
          <w:ilvl w:val="0"/>
          <w:numId w:val="2"/>
        </w:numPr>
        <w:spacing w:after="110" w:before="0" w:line="340"/>
      </w:pPr>
      <w:r>
        <w:rPr>
          <w:rFonts w:ascii="Microsoft YaHei UI" w:cs="Microsoft YaHei UI" w:eastAsia="Microsoft YaHei UI" w:hAnsi="Microsoft YaHei UI"/>
          <w:color w:val="152625"/>
          <w:sz w:val="22"/>
          <w:szCs w:val="22"/>
        </w:rPr>
        <w:t xml:space="preserve">按疼痛病因拆分证据，不混用不同人群结论</w:t>
      </w:r>
    </w:p>
    <w:p>
      <w:pPr>
        <w:pStyle w:val="ListParagraph"/>
        <w:numPr>
          <w:ilvl w:val="0"/>
          <w:numId w:val="2"/>
        </w:numPr>
        <w:spacing w:after="110" w:before="0" w:line="340"/>
      </w:pPr>
      <w:r>
        <w:rPr>
          <w:rFonts w:ascii="Microsoft YaHei UI" w:cs="Microsoft YaHei UI" w:eastAsia="Microsoft YaHei UI" w:hAnsi="Microsoft YaHei UI"/>
          <w:color w:val="152625"/>
          <w:sz w:val="22"/>
          <w:szCs w:val="22"/>
        </w:rPr>
        <w:t xml:space="preserve">关注局部治疗和新机制的比较研究</w:t>
      </w:r>
    </w:p>
    <w:p>
      <w:pPr>
        <w:pStyle w:val="ListParagraph"/>
        <w:numPr>
          <w:ilvl w:val="0"/>
          <w:numId w:val="2"/>
        </w:numPr>
        <w:spacing w:after="110" w:before="0" w:line="340"/>
      </w:pPr>
      <w:r>
        <w:rPr>
          <w:rFonts w:ascii="Microsoft YaHei UI" w:cs="Microsoft YaHei UI" w:eastAsia="Microsoft YaHei UI" w:hAnsi="Microsoft YaHei UI"/>
          <w:color w:val="152625"/>
          <w:sz w:val="22"/>
          <w:szCs w:val="22"/>
        </w:rPr>
        <w:t xml:space="preserve">更新疗效、耐受性和患者筛选的沟通要点</w:t>
      </w:r>
    </w:p>
    <w:sectPr>
      <w:headerReference w:type="default" r:id="rId7"/>
      <w:footerReference w:type="default" r:id="rId8"/>
      <w:pgSz w:w="11906" w:h="16838" w:orient="portrait"/>
      <w:pgMar w:top="1150" w:right="950" w:bottom="1050" w:left="9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YaHei UI" w:cs="Microsoft YaHei UI" w:eastAsia="Microsoft YaHei UI" w:hAnsi="Microsoft YaHei UI"/>
        <w:color w:val="5F706E"/>
        <w:sz w:val="17"/>
        <w:szCs w:val="17"/>
      </w:rPr>
      <w:t xml:space="preserve">内部工作材料 ·</w:t>
    </w:r>
    <w:r>
      <w:rPr>
        <w:rFonts w:ascii="Microsoft YaHei UI" w:cs="Microsoft YaHei UI" w:eastAsia="Microsoft YaHei UI" w:hAnsi="Microsoft YaHei UI"/>
        <w:color w:val="5F706E"/>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340"/>
      <w:jc w:val="right"/>
    </w:pPr>
    <w:r>
      <w:rPr>
        <w:rFonts w:ascii="Microsoft YaHei UI" w:cs="Microsoft YaHei UI" w:eastAsia="Microsoft YaHei UI" w:hAnsi="Microsoft YaHei UI"/>
        <w:color w:val="5F706E"/>
        <w:sz w:val="17"/>
        <w:szCs w:val="17"/>
      </w:rPr>
      <w:t xml:space="preserve">乐瑞卡 | 2026年8月产品情报</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YaHei UI" w:cs="Microsoft YaHei UI" w:eastAsia="Microsoft YaHei UI" w:hAnsi="Microsoft YaHei UI"/>
        <w:color w:val="152625"/>
        <w:sz w:val="22"/>
        <w:szCs w:val="22"/>
      </w:rPr>
    </w:rPrDefault>
    <w:pPrDefault>
      <w:pPr>
        <w:spacing w:after="120" w:line="34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pPr>
    <w:rPr>
      <w:rFonts w:ascii="Microsoft YaHei UI" w:cs="Microsoft YaHei UI" w:eastAsia="Microsoft YaHei UI" w:hAnsi="Microsoft YaHei UI"/>
      <w:b/>
      <w:bCs/>
      <w:color w:val="0B5C55"/>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b2l-alstjfizkfpwmt-cd" Type="http://schemas.openxmlformats.org/officeDocument/2006/relationships/hyperlink" Target="https://clinicaltrials.gov/study/NCT07778043" TargetMode="External"/><Relationship Id="rIdyjqs_uftqghnpwrewfxqy" Type="http://schemas.openxmlformats.org/officeDocument/2006/relationships/hyperlink" Target="https://clinicaltrials.gov/study/NCT07759336" TargetMode="External"/><Relationship Id="rIdzcaluehypt3nuzufdlexo" Type="http://schemas.openxmlformats.org/officeDocument/2006/relationships/hyperlink" Target="https://clinicaltrials.gov/study/NCT07288528" TargetMode="External"/><Relationship Id="rId1qmpwqm4xzlahilocvfbq" Type="http://schemas.openxmlformats.org/officeDocument/2006/relationships/hyperlink" Target="https://clinicaltrials.gov/study/NCT07758920" TargetMode="External"/><Relationship Id="rIdajzchmuv5zs7h6xzwq44i" Type="http://schemas.openxmlformats.org/officeDocument/2006/relationships/hyperlink" Target="https://clinicaltrials.gov/study/NCT07755514" TargetMode="External"/><Relationship Id="rId2jvgvlm70zbw82cyknale" Type="http://schemas.openxmlformats.org/officeDocument/2006/relationships/hyperlink" Target="https://clinicaltrials.gov/study/NCT01811251" TargetMode="External"/><Relationship Id="rIdhuos7wuuje-0lzif_xmpo" Type="http://schemas.openxmlformats.org/officeDocument/2006/relationships/hyperlink" Target="https://clinicaltrials.gov/study/NCT07752134" TargetMode="External"/><Relationship Id="rIdxcnxrlykyyax0xj4_e9ek" Type="http://schemas.openxmlformats.org/officeDocument/2006/relationships/hyperlink" Target="https://clinicaltrials.gov/study/NCT07777965" TargetMode="External"/><Relationship Id="rIdrwcjii9zt3_ctvnzxngqt" Type="http://schemas.openxmlformats.org/officeDocument/2006/relationships/hyperlink" Target="https://pubmed.ncbi.nlm.nih.gov/42642082/" TargetMode="External"/><Relationship Id="rIdoh6kw4tm8g_fl5fu_kegi" Type="http://schemas.openxmlformats.org/officeDocument/2006/relationships/hyperlink" Target="https://pubmed.ncbi.nlm.nih.gov/42631603/" TargetMode="External"/><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2026年8月乐瑞卡关注报告</dc:title>
  <dc:creator>Codex</dc:creator>
  <cp:lastModifiedBy>Un-named</cp:lastModifiedBy>
  <cp:revision>1</cp:revision>
  <dcterms:created xsi:type="dcterms:W3CDTF">2026-09-08T04:16:23.126Z</dcterms:created>
  <dcterms:modified xsi:type="dcterms:W3CDTF">2026-09-08T04:16:23.126Z</dcterms:modified>
</cp:coreProperties>
</file>

<file path=docProps/custom.xml><?xml version="1.0" encoding="utf-8"?>
<Properties xmlns="http://schemas.openxmlformats.org/officeDocument/2006/custom-properties" xmlns:vt="http://schemas.openxmlformats.org/officeDocument/2006/docPropsVTypes"/>
</file>