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络活喜｜2026年8月关注报告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47</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21</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10</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11</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9</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2026年8月络活喜最值得注意的是：高血压竞争更强调长效控制、单片复方和特殊人群管理，而不是单一降压幅度。</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47 条有效产品/竞品进展，其中 21 条建议跟进、10 条为高证据。优先记录包括《妊娠高血压和先兆子痫血压 (BP) 治疗目标低于 140/90 与低于 160/110 mmHg：GOAPOST 试验》、《韩国高血压患者序贯三联疗法（氨氯地平/氯沙坦/氯噻酮）的有效性和安全性》。</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复方/机制竞品；代文/倍博特相关、同类竞品；心痛定/拜新同、本品/同成分；络活喜及氨氯地平仿制药、复方/机制竞品；美卡素/复方氨氯地平替米沙坦，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复方方案和依从性证据会影响络活喜在长期管理、起始联合和合并风险患者中的定位。</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跟踪 ARB/CCB 单片复方研究和真实世界依从性；核对特殊人群中的血压终点与不良反应；补充长效平稳降压和联合治疗的医学证据。</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妊娠高血压和先兆子痫血压 (BP) 治疗目标低于 140/90 与低于 160/110 mmHg：GOAPOST 试验</w:t>
            </w:r>
          </w:p>
          <w:p>
            <w:pPr>
              <w:spacing w:after="0" w:before="0" w:line="320"/>
            </w:pPr>
            <w:r>
              <w:rPr>
                <w:rFonts w:ascii="Microsoft YaHei UI" w:cs="Microsoft YaHei UI" w:eastAsia="Microsoft YaHei UI" w:hAnsi="Microsoft YaHei UI"/>
                <w:color w:val="5F706E"/>
                <w:sz w:val="20"/>
                <w:szCs w:val="20"/>
              </w:rPr>
              <w:t xml:space="preserve">ClinicalTrials.gov 研究：妊娠高血压和先兆子痫血压 (BP) 治疗目标低于 140/90 与低于 160/110 mmHg：GOAPOST 试验；NCT：NCT07746271；状态：尚未招募；阶段：3期；适应症/疾病：妊娠期高血压；产科并发症；首次发布：2026-08-05；最近更新：2026-08-05。</w:t>
            </w:r>
          </w:p>
          <w:p>
            <w:pPr>
              <w:spacing w:after="0" w:before="80"/>
            </w:pPr>
            <w:hyperlink w:history="1" r:id="rIdwqxc-7misdyjfqclhltn4">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同类竞品；心痛定/拜新同</w:t>
            </w:r>
          </w:p>
          <w:p>
            <w:pPr>
              <w:spacing w:after="0" w:before="0" w:line="320"/>
            </w:pPr>
            <w:r>
              <w:rPr>
                <w:rFonts w:ascii="Microsoft YaHei UI" w:cs="Microsoft YaHei UI" w:eastAsia="Microsoft YaHei UI" w:hAnsi="Microsoft YaHei UI"/>
                <w:color w:val="152625"/>
                <w:sz w:val="20"/>
                <w:szCs w:val="20"/>
              </w:rPr>
              <w:t xml:space="preserve">CCB 同类替代；建议查看研究设计、入排标准和终点，判断对络活喜或同机制竞品监测的影响。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韩国高血压患者序贯三联疗法（氨氯地平/氯沙坦/氯噻酮）的有效性和安全性</w:t>
            </w:r>
          </w:p>
          <w:p>
            <w:pPr>
              <w:spacing w:after="0" w:before="0" w:line="320"/>
            </w:pPr>
            <w:r>
              <w:rPr>
                <w:rFonts w:ascii="Microsoft YaHei UI" w:cs="Microsoft YaHei UI" w:eastAsia="Microsoft YaHei UI" w:hAnsi="Microsoft YaHei UI"/>
                <w:color w:val="5F706E"/>
                <w:sz w:val="20"/>
                <w:szCs w:val="20"/>
              </w:rPr>
              <w:t xml:space="preserve">ClinicalTrials.gov 研究：韩国高血压患者序贯三联疗法（氨氯地平/氯沙坦/氯噻酮）的有效性和安全性；NCT：NCT07784296；状态：招募中；阶段：不适用；适应症/疾病：Hypertension；首次发布：2026-08-25；最近更新：2026-08-25。</w:t>
            </w:r>
          </w:p>
          <w:p>
            <w:pPr>
              <w:spacing w:after="0" w:before="80"/>
            </w:pPr>
            <w:hyperlink w:history="1" r:id="rId9560fr6oa7gurluvm-lz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本品/同成分；络活喜及氨氯地平仿制药</w:t>
            </w:r>
          </w:p>
          <w:p>
            <w:pPr>
              <w:spacing w:after="0" w:before="0" w:line="320"/>
            </w:pPr>
            <w:r>
              <w:rPr>
                <w:rFonts w:ascii="Microsoft YaHei UI" w:cs="Microsoft YaHei UI" w:eastAsia="Microsoft YaHei UI" w:hAnsi="Microsoft YaHei UI"/>
                <w:color w:val="152625"/>
                <w:sz w:val="20"/>
                <w:szCs w:val="20"/>
              </w:rPr>
              <w:t xml:space="preserve">同成分价格与一致性评价竞争；建议查看研究设计、入排标准和终点，判断对络活喜或同机制竞品监测的影响。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血管紧张素-II 受体阻滞剂对心血管重塑的研究（VALUE 试验）</w:t>
            </w:r>
          </w:p>
          <w:p>
            <w:pPr>
              <w:spacing w:after="0" w:before="0" w:line="320"/>
            </w:pPr>
            <w:r>
              <w:rPr>
                <w:rFonts w:ascii="Microsoft YaHei UI" w:cs="Microsoft YaHei UI" w:eastAsia="Microsoft YaHei UI" w:hAnsi="Microsoft YaHei UI"/>
                <w:color w:val="5F706E"/>
                <w:sz w:val="20"/>
                <w:szCs w:val="20"/>
              </w:rPr>
              <w:t xml:space="preserve">ClinicalTrials.gov 研究：血管紧张素-II 受体阻滞剂对心血管重塑的研究（VALUE 试验）；NCT：NCT06150560；状态：仅限受邀入组；阶段：3期；适应症/疾病：主动脉缩窄；高血压；首次发布：2023-11-29；最近更新：2026-08-11。</w:t>
            </w:r>
          </w:p>
          <w:p>
            <w:pPr>
              <w:spacing w:after="0" w:before="80"/>
            </w:pPr>
            <w:hyperlink w:history="1" r:id="rId8x5hqxitvzsxvylhjogyh">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本品/同成分；络活喜及氨氯地平仿制药</w:t>
            </w:r>
          </w:p>
          <w:p>
            <w:pPr>
              <w:spacing w:after="0" w:before="0" w:line="320"/>
            </w:pPr>
            <w:r>
              <w:rPr>
                <w:rFonts w:ascii="Microsoft YaHei UI" w:cs="Microsoft YaHei UI" w:eastAsia="Microsoft YaHei UI" w:hAnsi="Microsoft YaHei UI"/>
                <w:color w:val="152625"/>
                <w:sz w:val="20"/>
                <w:szCs w:val="20"/>
              </w:rPr>
              <w:t xml:space="preserve">同成分价格与一致性评价竞争；建议查看研究设计、入排标准和终点，判断对络活喜或同机制竞品监测的影响。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2026-08-13</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硝苯地平缓释剂用于轻度或中度高血压患者</w:t>
            </w:r>
          </w:p>
          <w:p>
            <w:pPr>
              <w:spacing w:after="0" w:before="0" w:line="320"/>
            </w:pPr>
            <w:r>
              <w:rPr>
                <w:rFonts w:ascii="Microsoft YaHei UI" w:cs="Microsoft YaHei UI" w:eastAsia="Microsoft YaHei UI" w:hAnsi="Microsoft YaHei UI"/>
                <w:color w:val="5F706E"/>
                <w:sz w:val="20"/>
                <w:szCs w:val="20"/>
              </w:rPr>
              <w:t xml:space="preserve">ClinicalTrials.gov 研究：硝苯地平缓释剂用于轻度或中度高血压患者；NCT：NCT07448506；状态：已完成；阶段：3期；适应症/疾病：高血压（和[原发性高血压]）；首次发布：2026-03-04；最近更新：2026-08-13。</w:t>
            </w:r>
          </w:p>
          <w:p>
            <w:pPr>
              <w:spacing w:after="0" w:before="80"/>
            </w:pPr>
            <w:hyperlink w:history="1" r:id="rIdcfozqx6io677ih5-xwfft">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同类竞品；心痛定/拜新同</w:t>
            </w:r>
          </w:p>
          <w:p>
            <w:pPr>
              <w:spacing w:after="0" w:before="0" w:line="320"/>
            </w:pPr>
            <w:r>
              <w:rPr>
                <w:rFonts w:ascii="Microsoft YaHei UI" w:cs="Microsoft YaHei UI" w:eastAsia="Microsoft YaHei UI" w:hAnsi="Microsoft YaHei UI"/>
                <w:color w:val="152625"/>
                <w:sz w:val="20"/>
                <w:szCs w:val="20"/>
              </w:rPr>
              <w:t xml:space="preserve">CCB 同类替代；建议查看研究设计、入排标准和终点，判断对络活喜或同机制竞品监测的影响。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2026-08-01</w:t>
            </w:r>
          </w:p>
          <w:p>
            <w:pPr>
              <w:spacing w:after="60" w:before="0" w:line="340"/>
            </w:pPr>
            <w:r>
              <w:rPr>
                <w:rFonts w:ascii="Microsoft YaHei UI" w:cs="Microsoft YaHei UI" w:eastAsia="Microsoft YaHei UI" w:hAnsi="Microsoft YaHei UI"/>
                <w:color w:val="5F706E"/>
                <w:sz w:val="22"/>
                <w:szCs w:val="22"/>
              </w:rPr>
              <w:t xml:space="preserve">万方</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苯磺酸氨氯地平联合缬沙坦治疗老年高血压的临床效果及药物经济学评价</w:t>
            </w:r>
          </w:p>
          <w:p>
            <w:pPr>
              <w:spacing w:after="0" w:before="0" w:line="320"/>
            </w:pPr>
            <w:r>
              <w:rPr>
                <w:rFonts w:ascii="Microsoft YaHei UI" w:cs="Microsoft YaHei UI" w:eastAsia="Microsoft YaHei UI" w:hAnsi="Microsoft YaHei UI"/>
                <w:color w:val="5F706E"/>
                <w:sz w:val="20"/>
                <w:szCs w:val="20"/>
              </w:rPr>
              <w:t xml:space="preserve">题名：苯磺酸氨氯地平联合缬沙坦治疗老年高血压的临床效果及药物经济学评价；来源：中国现代药物应用；作者：潘秀玲刘艳芳；关键词：苯磺酸氨氯地平缬沙坦老年高血压临床效果药物经济学；检索词：苯磺酸氨氯地平；发表时间：2026-08-01。 摘要要点：目的 评价苯磺酸氨氯地平(AM)联合缬沙坦(Val)对老年高血压患者的治疗效果,同时分析联合治疗的药物经济学效益.方法 选择 86 例老年高血压患者,按照随机数字表分成试验组(43 例)和参照组(43 例).试验组进行AM联合Val治疗,参照组进行Val单一治疗.比较两组的疗效、血压[24 h收缩压(24 h SBP)、24 h舒张压(24 h DBP)、血。</w:t>
            </w:r>
          </w:p>
          <w:p>
            <w:pPr>
              <w:spacing w:after="0" w:before="80"/>
            </w:pPr>
            <w:hyperlink w:history="1" r:id="rIdswwy4oxjq90l5pjfkoiz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本品/同成分；络活喜及氨氯地平仿制药</w:t>
            </w:r>
          </w:p>
          <w:p>
            <w:pPr>
              <w:spacing w:after="0" w:before="0" w:line="320"/>
            </w:pPr>
            <w:r>
              <w:rPr>
                <w:rFonts w:ascii="Microsoft YaHei UI" w:cs="Microsoft YaHei UI" w:eastAsia="Microsoft YaHei UI" w:hAnsi="Microsoft YaHei UI"/>
                <w:color w:val="152625"/>
                <w:sz w:val="20"/>
                <w:szCs w:val="20"/>
              </w:rPr>
              <w:t xml:space="preserve">同成分价格与一致性评价竞争；作为中文文献补充，建议评估该研究对络活喜医学信息、中文证据沟通或竞品监测的影响。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2026-08-01</w:t>
            </w:r>
          </w:p>
          <w:p>
            <w:pPr>
              <w:spacing w:after="60" w:before="0" w:line="340"/>
            </w:pPr>
            <w:r>
              <w:rPr>
                <w:rFonts w:ascii="Microsoft YaHei UI" w:cs="Microsoft YaHei UI" w:eastAsia="Microsoft YaHei UI" w:hAnsi="Microsoft YaHei UI"/>
                <w:color w:val="5F706E"/>
                <w:sz w:val="22"/>
                <w:szCs w:val="22"/>
              </w:rPr>
              <w:t xml:space="preserve">万方</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盐酸贝尼地平联合替米沙坦治疗原发性高血压疗效观察</w:t>
            </w:r>
          </w:p>
          <w:p>
            <w:pPr>
              <w:spacing w:after="0" w:before="0" w:line="320"/>
            </w:pPr>
            <w:r>
              <w:rPr>
                <w:rFonts w:ascii="Microsoft YaHei UI" w:cs="Microsoft YaHei UI" w:eastAsia="Microsoft YaHei UI" w:hAnsi="Microsoft YaHei UI"/>
                <w:color w:val="5F706E"/>
                <w:sz w:val="20"/>
                <w:szCs w:val="20"/>
              </w:rPr>
              <w:t xml:space="preserve">题名：盐酸贝尼地平联合替米沙坦治疗原发性高血压疗效观察；来源：中国药业；作者：王晨霞王莉丽孙佳瑶；关键词：盐酸贝尼地平替米沙坦原发性高血压血压晨峰现象一氧化氮胱抑素C；检索词：替米沙坦；发表时间：2026-08-01。 摘要要点：目的 探讨盐酸贝尼地平联合替米沙坦治疗原发性高血压的临床疗效.方法 选取首都医科大学附属北京潞河医院 2024 年 2 月至 12 月收治的原发性高血压患者 100 例,按随机数字表法分为对照组和观察组,各 50 例.两组患者均口服替米沙坦片,观察组患者加用盐酸贝尼地平片.两组均连续治疗 8 周.结果 观察组总有效率为 88.00%,显著高于对照组的 56.。</w:t>
            </w:r>
          </w:p>
          <w:p>
            <w:pPr>
              <w:spacing w:after="0" w:before="80"/>
            </w:pPr>
            <w:hyperlink w:history="1" r:id="rIdma8p0ibtpl7ngw6rkpl5n">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复方/机制竞品；美卡素/复方氨氯地平替米沙坦</w:t>
            </w:r>
          </w:p>
          <w:p>
            <w:pPr>
              <w:spacing w:after="0" w:before="0" w:line="320"/>
            </w:pPr>
            <w:r>
              <w:rPr>
                <w:rFonts w:ascii="Microsoft YaHei UI" w:cs="Microsoft YaHei UI" w:eastAsia="Microsoft YaHei UI" w:hAnsi="Microsoft YaHei UI"/>
                <w:color w:val="152625"/>
                <w:sz w:val="20"/>
                <w:szCs w:val="20"/>
              </w:rPr>
              <w:t xml:space="preserve">ARB/CCB 复方替代或联合；作为中文文献补充，建议评估该研究对络活喜医学信息、中文证据沟通或竞品监测的影响。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根据护理标准 (POPS) 给儿童服用的正在研究的药物的药代动力学、药效学和安全性概况</w:t>
            </w:r>
          </w:p>
          <w:p>
            <w:pPr>
              <w:spacing w:after="0" w:before="0" w:line="320"/>
            </w:pPr>
            <w:r>
              <w:rPr>
                <w:rFonts w:ascii="Microsoft YaHei UI" w:cs="Microsoft YaHei UI" w:eastAsia="Microsoft YaHei UI" w:hAnsi="Microsoft YaHei UI"/>
                <w:color w:val="5F706E"/>
                <w:sz w:val="20"/>
                <w:szCs w:val="20"/>
              </w:rPr>
              <w:t xml:space="preserve">ClinicalTrials.gov 研究：根据护理标准 (POPS) 给儿童服用的正在研究的药物的药代动力学、药效学和安全性概况；NCT：NCT04278404；状态：招募中；阶段：不适用；适应症/疾病：冠状病毒感染（COVID-19）；肺动脉高压；儿童尿路感染；高血压；疼痛；高磷血症；原发性醛固酮增多症；水肿；低钾血症；心力衰竭；血友病；月经过多；失眠；肺炎；皮肤感染；心律失常；儿童哮喘；支气管肺疾病发育不良；肾上腺皮质功能不全；纤溶；出血；注意力缺陷多动障碍；儿童多系统炎症综合症（MIS-C）；川崎病；凝血障碍；唐氏综合症；首次发布：2020-02-20；最近更新：2026-08-21。</w:t>
            </w:r>
          </w:p>
          <w:p>
            <w:pPr>
              <w:spacing w:after="0" w:before="80"/>
            </w:pPr>
            <w:hyperlink w:history="1" r:id="rId4xdfi2lvd_ovwxc6i3lmr">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同类竞品；心痛定/拜新同</w:t>
            </w:r>
          </w:p>
          <w:p>
            <w:pPr>
              <w:spacing w:after="0" w:before="0" w:line="320"/>
            </w:pPr>
            <w:r>
              <w:rPr>
                <w:rFonts w:ascii="Microsoft YaHei UI" w:cs="Microsoft YaHei UI" w:eastAsia="Microsoft YaHei UI" w:hAnsi="Microsoft YaHei UI"/>
                <w:color w:val="152625"/>
                <w:sz w:val="20"/>
                <w:szCs w:val="20"/>
              </w:rPr>
              <w:t xml:space="preserve">CCB 同类替代；建议查看研究设计、入排标准和终点，判断对络活喜或同机制竞品监测的影响。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2026-08-14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9A5D15"/>
                <w:sz w:val="18"/>
                <w:szCs w:val="18"/>
              </w:rPr>
              <w:t xml:space="preserve">中证据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Entresto（沙库巴曲/缬沙坦）对日本高血压患者的疗效</w:t>
            </w:r>
          </w:p>
          <w:p>
            <w:pPr>
              <w:spacing w:after="0" w:before="0" w:line="320"/>
            </w:pPr>
            <w:r>
              <w:rPr>
                <w:rFonts w:ascii="Microsoft YaHei UI" w:cs="Microsoft YaHei UI" w:eastAsia="Microsoft YaHei UI" w:hAnsi="Microsoft YaHei UI"/>
                <w:color w:val="5F706E"/>
                <w:sz w:val="20"/>
                <w:szCs w:val="20"/>
              </w:rPr>
              <w:t xml:space="preserve">ClinicalTrials.gov 研究：Entresto（沙库巴曲/缬沙坦）对日本高血压患者的疗效；NCT：NCT06604897；状态：已完成；阶段：不适用；适应症/疾病：原发性高血压；首次发布：2024-09-20；最近更新：2026-08-14。</w:t>
            </w:r>
          </w:p>
          <w:p>
            <w:pPr>
              <w:spacing w:after="0" w:before="80"/>
            </w:pPr>
            <w:hyperlink w:history="1" r:id="rIdvoz8tqdtt88yr4yy2vqub">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复方/机制竞品；代文/倍博特相关</w:t>
            </w:r>
          </w:p>
          <w:p>
            <w:pPr>
              <w:spacing w:after="0" w:before="0" w:line="320"/>
            </w:pPr>
            <w:r>
              <w:rPr>
                <w:rFonts w:ascii="Microsoft YaHei UI" w:cs="Microsoft YaHei UI" w:eastAsia="Microsoft YaHei UI" w:hAnsi="Microsoft YaHei UI"/>
                <w:color w:val="152625"/>
                <w:sz w:val="20"/>
                <w:szCs w:val="20"/>
              </w:rPr>
              <w:t xml:space="preserve">ARB/CCB 复方替代或联合；建议查看研究设计、入排标准和终点，判断对络活喜或同机制竞品监测的影响。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范玉华｜中山大学附属第一医院</w:t>
            </w:r>
          </w:p>
          <w:p>
            <w:pPr>
              <w:spacing w:after="70" w:before="0" w:line="340"/>
            </w:pPr>
            <w:r>
              <w:rPr>
                <w:rFonts w:ascii="Microsoft YaHei UI" w:cs="Microsoft YaHei UI" w:eastAsia="Microsoft YaHei UI" w:hAnsi="Microsoft YaHei UI"/>
                <w:b/>
                <w:bCs/>
                <w:color w:val="152625"/>
                <w:sz w:val="22"/>
                <w:szCs w:val="22"/>
              </w:rPr>
              <w:t xml:space="preserve">内皮 TAK1 减少通过 RIPK1-MLKL 信号通路损害脑小血管疾病中的血管完整性。</w:t>
            </w:r>
          </w:p>
          <w:p>
            <w:pPr>
              <w:spacing w:after="0" w:before="0" w:line="320"/>
            </w:pPr>
            <w:r>
              <w:rPr>
                <w:rFonts w:ascii="Microsoft YaHei UI" w:cs="Microsoft YaHei UI" w:eastAsia="Microsoft YaHei UI" w:hAnsi="Microsoft YaHei UI"/>
                <w:color w:val="5F706E"/>
                <w:sz w:val="20"/>
                <w:szCs w:val="20"/>
              </w:rPr>
              <w:t xml:space="preserve">研究主题：内皮 TAK1 减少通过 RIPK1-MLKL 信号通路损害脑小血管疾病中的血管完整性。。摘要要点：背景：高血压是脑小血管疾病（CSVD）的主要可改变危险因素，通过内皮功能障碍和死亡导致病理性脑血管稀疏和血脑屏障（BBB）损害。然而，调节脑内皮细胞死亡和内源性血管修复途径的机制仍不完全清楚。虽然转化生长因子-β-激活激酶 1 (TAK1) 被认为是跨多个组织的细胞存活和稳态的中心调节因子，但其在高血压相关脑小血管病发病机制中的脑血管特异性功能尚未完全阐明。方法采用脑卒中易发性肾血管性高血压大鼠(RHRSP)作为脑小血管病模型。对 RHRSP 和假手术对照组的脑血管完整性、内皮死亡模式和 TAK1 表达进行比较分析。采用腺相关病毒 (AAV) 载体（AAV-siTAK1 或 AAV-TAK1）的双途径给药（脑室内和静脉内）来实现脑内皮特异性 TAK1 敲低或过表达。潜在的机制在体外得到了验证。结果：在 RHRSP 中，慢性高血压导致大脑皮质和海马内皮细胞的坏死性凋亡超过凋亡，并伴有 TAK1 表达显着减少。通过遗传和药理学方法，我们发现 TAK1 下调会引发一系列病理事件：内皮坏死、紧密连接蛋白降解、不可逆的微血管稀疏、血脑屏障渗漏和空间记忆缺陷。从机制上讲，该级联主要由受体相互作用蛋白激酶 1 (RIPK1) 混合谱系激酶结构域 (MLK​​L) 轴的 TAK1 依赖性调节介导。</w:t>
            </w:r>
          </w:p>
          <w:p>
            <w:pPr>
              <w:spacing w:after="0" w:before="80"/>
            </w:pPr>
            <w:hyperlink w:history="1" r:id="rIdft9yy1svu5lpgrhzahedp">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蔡军｜首都医科大学附属北京安贞医院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老年高血压患者达到家庭收缩压和心血管风险。</w:t>
            </w:r>
          </w:p>
          <w:p>
            <w:pPr>
              <w:spacing w:after="0" w:before="0" w:line="320"/>
            </w:pPr>
            <w:r>
              <w:rPr>
                <w:rFonts w:ascii="Microsoft YaHei UI" w:cs="Microsoft YaHei UI" w:eastAsia="Microsoft YaHei UI" w:hAnsi="Microsoft YaHei UI"/>
                <w:color w:val="5F706E"/>
                <w:sz w:val="20"/>
                <w:szCs w:val="20"/>
              </w:rPr>
              <w:t xml:space="preserve">研究主题：老年高血压患者达到家庭收缩压和心血管风险。。摘要要点：强化血压治疗可减少心血管事件，但老年高血压患者达到的最佳家庭收缩压（SBP）水平仍不确定。这项二次分析基于老年高血压患者血压干预策略试验的数据。入组后 3 至 12 个月内获得的早晨和晚上家庭血压测量值用于计算达到的家庭 SBP。然后将参与者分为四个达到的家庭 SBP 组：&lt;125 mmHg、125-130 mmHg、130-135 mmHg 和 ≥135 mmHg。主要结局是心血管事件的综合结果。在本次分析中纳入的 7681 名参与者中，在 3.43 年的中位随访期间发生了 261 起主要事件。与家庭 SBP ≥ 135 mmHg 相比，&lt;125 mmHg 组主要复合结局的绝对风险降低了 1.70%，125-130 mmHg 组降低了 1.36%。在多变量分析中，家庭收缩压 &lt; 125 mmHg 和 125-130 mmHg 与主要复合结局风险较低相关，调整后的 HR 分别为 0.62（95% CI，0.42-0.90）和 0.66（95% CI，0.47-0.94）。中风也观察到类似的保护性关联（调整后 HR，0.36；95% CI，0.19-0.66）。较低的家庭收缩压类别与主要安全结果的统计显着增加无关。这些研究结果表明，在具有高中风风险和良好治疗耐受性的特定患者中，将家庭收缩压控制在 130 毫米汞柱以下，并进一步接近 125 毫米汞柱，可能会提供超出传统阈值的额外心血管益处。</w:t>
            </w:r>
          </w:p>
          <w:p>
            <w:pPr>
              <w:spacing w:after="0" w:before="80"/>
            </w:pPr>
            <w:hyperlink w:history="1" r:id="rIdoiwexyddidoyp1_1phhpc">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2026-08-26</w:t>
            </w:r>
          </w:p>
          <w:p>
            <w:pPr>
              <w:spacing w:after="0" w:before="0" w:line="340"/>
            </w:pPr>
            <w:r>
              <w:rPr>
                <w:rFonts w:ascii="Microsoft YaHei UI" w:cs="Microsoft YaHei UI" w:eastAsia="Microsoft YaHei UI" w:hAnsi="Microsoft YaHei UI"/>
                <w:color w:val="5F706E"/>
                <w:sz w:val="22"/>
                <w:szCs w:val="22"/>
              </w:rPr>
              <w:t xml:space="preserve">微信公众号</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姜一农｜大连医科大学附属第一医院</w:t>
            </w:r>
          </w:p>
          <w:p>
            <w:pPr>
              <w:spacing w:after="70" w:before="0" w:line="340"/>
            </w:pPr>
            <w:r>
              <w:rPr>
                <w:rFonts w:ascii="Microsoft YaHei UI" w:cs="Microsoft YaHei UI" w:eastAsia="Microsoft YaHei UI" w:hAnsi="Microsoft YaHei UI"/>
                <w:b/>
                <w:bCs/>
                <w:color w:val="152625"/>
                <w:sz w:val="22"/>
                <w:szCs w:val="22"/>
              </w:rPr>
              <w:t xml:space="preserve">姜一农教授专访：从达标策略到个体化用药，谈高血压全流程精细化管理 ｜OCC 2026</w:t>
            </w:r>
          </w:p>
          <w:p>
            <w:pPr>
              <w:spacing w:after="0" w:before="0" w:line="320"/>
            </w:pPr>
            <w:r>
              <w:rPr>
                <w:rFonts w:ascii="Microsoft YaHei UI" w:cs="Microsoft YaHei UI" w:eastAsia="Microsoft YaHei UI" w:hAnsi="Microsoft YaHei UI"/>
                <w:color w:val="5F706E"/>
                <w:sz w:val="20"/>
                <w:szCs w:val="20"/>
              </w:rPr>
              <w:t xml:space="preserve">姜一农在 OCC 2026 专访中指出，我国高血压管理的主要矛盾仍是达标率不足；多数患者应争取将血压控制在 130/80 mmHg 以下，80 岁以上高龄患者可根据耐受性适当放宽。高质量管理不能只看诊室读数，还要关注 24 小时平稳达标、目标范围内时间和靶器官保护。对心率快、交感神经兴奋明显的年轻、肥胖或围绝经期患者，应进行机制导向治疗；老年患者需结合多病共存、脉压、体位性低血压和季节波动个体化调整。难治性高血压还应排除假性难治并加强继发性高血压筛查，RDN 适用于经过筛选的交感兴奋型患者。</w:t>
            </w:r>
          </w:p>
          <w:p>
            <w:pPr>
              <w:spacing w:after="0" w:before="80"/>
            </w:pPr>
            <w:hyperlink w:history="1" r:id="rId2mjntb3xqst0dk3a-jstx">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2026-08-25</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蔡军｜首都医科大学附属北京安贞医院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METTL7B 缓解高血压和血管重塑。</w:t>
            </w:r>
          </w:p>
          <w:p>
            <w:pPr>
              <w:spacing w:after="0" w:before="0" w:line="320"/>
            </w:pPr>
            <w:r>
              <w:rPr>
                <w:rFonts w:ascii="Microsoft YaHei UI" w:cs="Microsoft YaHei UI" w:eastAsia="Microsoft YaHei UI" w:hAnsi="Microsoft YaHei UI"/>
                <w:color w:val="5F706E"/>
                <w:sz w:val="20"/>
                <w:szCs w:val="20"/>
              </w:rPr>
              <w:t xml:space="preserve">研究主题：METTL7B 缓解高血压和血管重塑。。摘要要点：背景：高血压是心血管疾病的主要危险因素。RNA N6-甲基腺苷（m6A）修饰与高血压发病机制密切相关，但调节血压的关键 m6A 相关因素仍不清楚。本研究旨在识别这些调节因子并评估其治疗潜力。方法：我们通过甲基化 RNA 免疫沉淀测序和 RNA 测序 (RNA-seq) 评估了高血压主动脉中 RNA m6A 的变化和 METTL（甲基转移酶样）表达。使用全局Mettl7b敲除小鼠和血管平滑肌细胞（VSMC）特异性Mettl7b敲除和敲除小鼠来评估其体内作用。通过甲基化RNA免疫沉淀测序、增强交联和免疫沉淀测序以及RNA-seq鉴定下游靶基因。使用分子对接和表面等离子共振筛选 METTL7B 激活剂，并通过腹膜内注射进行体内验证。结果：在高血压应激下，METTL7B 表达与整体 RNA m6A 含量呈正相关，表现出 VSMC 中的同时耗竭。体外生化测定表明，重组 METTL7B 显着提高了 RNA m6A 水平。至关重要的是，METTL3 敲除细胞中 METTL7B 的过表达显着上调了 m6A 水平，最终将 METTL7B 确立为一种新型的、不依赖于 METTL3 的 RNA m6A 甲基转移酶。生理学上，VSMC特异性Mettl7b消融加剧了血管紧张素II诱导的高血压发病机制、动脉结构重塑和血管张力，而其过度表达则发挥了有效的血管保护作用。</w:t>
            </w:r>
          </w:p>
          <w:p>
            <w:pPr>
              <w:spacing w:after="0" w:before="80"/>
            </w:pPr>
            <w:hyperlink w:history="1" r:id="rId5y0g5kjsbei4npl7cogea">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2026-08-14</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吴新宝｜首都医科大学附属北京积水潭医院</w:t>
            </w:r>
          </w:p>
          <w:p>
            <w:pPr>
              <w:spacing w:after="70" w:before="0" w:line="340"/>
            </w:pPr>
            <w:r>
              <w:rPr>
                <w:rFonts w:ascii="Microsoft YaHei UI" w:cs="Microsoft YaHei UI" w:eastAsia="Microsoft YaHei UI" w:hAnsi="Microsoft YaHei UI"/>
                <w:b/>
                <w:bCs/>
                <w:color w:val="152625"/>
                <w:sz w:val="22"/>
                <w:szCs w:val="22"/>
              </w:rPr>
              <w:t xml:space="preserve">老年人髋部骨折手术后即刻术后脉压与三年全因死亡率之间的关联：前瞻性队列的事后分析。</w:t>
            </w:r>
          </w:p>
          <w:p>
            <w:pPr>
              <w:spacing w:after="0" w:before="0" w:line="320"/>
            </w:pPr>
            <w:r>
              <w:rPr>
                <w:rFonts w:ascii="Microsoft YaHei UI" w:cs="Microsoft YaHei UI" w:eastAsia="Microsoft YaHei UI" w:hAnsi="Microsoft YaHei UI"/>
                <w:color w:val="5F706E"/>
                <w:sz w:val="20"/>
                <w:szCs w:val="20"/>
              </w:rPr>
              <w:t xml:space="preserve">研究主题：老年人髋部骨折手术后即刻术后脉压与三年全因死亡率之间的关联：前瞻性队列的事后分析。。摘要要点：目的：术后返回病房后血压与预后的相关性尚不清楚。在这项探索性事后分析中，我们研究了老年髋部骨折患者术后收缩压（SBP）、舒张压（DBP）、平均动脉压（MAP）和脉压（PP）与三年全因死亡率的关系。方法：这项单中心事后分析使用了前瞻性收集的数据，这些数据来自 2018 年 11 月至 2019 年 11 月期间在椎管内麻醉下接受髋部骨折手术的 65 岁或以上患者。术后即刻血压定义为返回病房后记录的第一次无创袖带测量。PP 计算为 SBP 减去 DBP，MAP 计算为 (SBP + 2 × DBP)/3。所有 1052 名患者均纳入事件发生时间分析；失访的患者在他们最后一次活着的日期进行了右删失。每个血压参数均在单独调整的 Cox 比例风险模型中进行评估。受限三次样条用于评估非线性。结果：865例已知三年生命状况的患者中，死亡192例，存活673例；三年前对 187 名患者进行了审查。死亡患者的平均 PP 低于幸存者（58.68 mmHg (SD 19.45) vs.62.46 mmHg (SD 20.81)；p = 0.019）。PP 每增加 10 mmHg，死亡风险就会降低（调整后的风险比 (HR) 0.914，95% 置信区间 (CI) 0.834 至 0.990；p = 0.033）。样条分析显示 PP 总体相关 (p = 0.033)，没有非线性证据 (p = 0.</w:t>
            </w:r>
          </w:p>
          <w:p>
            <w:pPr>
              <w:spacing w:after="0" w:before="80"/>
            </w:pPr>
            <w:hyperlink w:history="1" r:id="rIdqp-d3ygzk6lkcjrjnbo_j">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2026-08-12</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李南方｜新疆维吾尔自治区人民医院</w:t>
            </w:r>
          </w:p>
          <w:p>
            <w:pPr>
              <w:spacing w:after="70" w:before="0" w:line="340"/>
            </w:pPr>
            <w:r>
              <w:rPr>
                <w:rFonts w:ascii="Microsoft YaHei UI" w:cs="Microsoft YaHei UI" w:eastAsia="Microsoft YaHei UI" w:hAnsi="Microsoft YaHei UI"/>
                <w:b/>
                <w:bCs/>
                <w:color w:val="152625"/>
                <w:sz w:val="22"/>
                <w:szCs w:val="22"/>
              </w:rPr>
              <w:t xml:space="preserve">中国新疆住院高血压患者代谢指标与单纯性肾囊肿患病率之间的关联：一项大规模横断面研究。</w:t>
            </w:r>
          </w:p>
          <w:p>
            <w:pPr>
              <w:spacing w:after="0" w:before="0" w:line="320"/>
            </w:pPr>
            <w:r>
              <w:rPr>
                <w:rFonts w:ascii="Microsoft YaHei UI" w:cs="Microsoft YaHei UI" w:eastAsia="Microsoft YaHei UI" w:hAnsi="Microsoft YaHei UI"/>
                <w:color w:val="5F706E"/>
                <w:sz w:val="20"/>
                <w:szCs w:val="20"/>
              </w:rPr>
              <w:t xml:space="preserve">研究主题：中国新疆住院高血压患者代谢指标与单纯性肾囊肿患病率之间的关联：一项大规模横断面研究。。摘要要点：背景：代谢功能障碍可能与高血压患者的单纯性肾囊肿（SRC）相关，但常规代谢指标与 SRC 患病率之间的关系仍不清楚。因此，我们的目的是检查六种常规代谢指标与住院高血压患者 SRC 患病率之间的关联。方法：这项横断面研究纳入了 2014 年 1 月 1 日至 2025 年 10 月 31 日期间因高血压住院的 35,000 名成年人，他们拥有计算代谢指数所需的完整数据以及可用的肾脏超声检查或腹部 CT 结果。排除年龄&lt;18岁的患者、妊娠患者以及患有严重肝、肾、内分泌、泌尿道、恶性或非单纯性囊性肾病的患者。其他排除包括先前使用盐皮质激素受体拮抗剂和极值。使用多变量逻辑回归检查六种代谢指数与普遍 SRC 的关联，并辅以 RCS、ROC、亚组、敏感性和 E 值分析。结果：在 35,000 名参与者中，7,250 名 (20.7%) 拥有 SRC。SRC 患病率在所有六种代谢指数的四分位数中逐渐增加（所有趋势 P &lt;0.001）。在完全调整的模型中，六个指数每增加 1-SD 都与较高的 SRC 几率相关，OR 范围从 TG/HDL-C 的 1.19（95% CI：1.16-1.22）到 METS-VF 的 1.65（95% CI：1.59-1.71）。与第一季度相比，第四季度参与者的调整 OR 范围为 1.48（95% CI：1.35-1.61）至 3.76（95% CI：3.</w:t>
            </w:r>
          </w:p>
          <w:p>
            <w:pPr>
              <w:spacing w:after="0" w:before="80"/>
            </w:pPr>
            <w:hyperlink w:history="1" r:id="rIdtslcpxp_lddwieamk5amp">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缬沙坦 / valsartan / C24H29N5O3（24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硝苯地平 / nifedipine / C17H18N2O6（8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苯磺酸氨氯地平 / amlodipine besylate / C26H31ClN2O8S（5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替米沙坦 / telmisartan / C33H30N4O2（5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非洛地平 / felodipine / C18H19Cl2NO4（2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奥美沙坦酯 / olmesartan medoxomil / C29H30N6O6（2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阿折地平 / azelnidipine / C33H34N4O6（1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跟踪 ARB/CCB 单片复方研究和真实世界依从性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核对特殊人群中的血压终点与不良反应</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补充长效平稳降压和联合治疗的医学证据</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络活喜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qxc-7misdyjfqclhltn4" Type="http://schemas.openxmlformats.org/officeDocument/2006/relationships/hyperlink" Target="https://clinicaltrials.gov/study/NCT07746271" TargetMode="External"/><Relationship Id="rId9560fr6oa7gurluvm-lzd" Type="http://schemas.openxmlformats.org/officeDocument/2006/relationships/hyperlink" Target="https://clinicaltrials.gov/study/NCT07784296" TargetMode="External"/><Relationship Id="rId8x5hqxitvzsxvylhjogyh" Type="http://schemas.openxmlformats.org/officeDocument/2006/relationships/hyperlink" Target="https://clinicaltrials.gov/study/NCT06150560" TargetMode="External"/><Relationship Id="rIdcfozqx6io677ih5-xwfft" Type="http://schemas.openxmlformats.org/officeDocument/2006/relationships/hyperlink" Target="https://clinicaltrials.gov/study/NCT07448506" TargetMode="External"/><Relationship Id="rIdswwy4oxjq90l5pjfkoizg" Type="http://schemas.openxmlformats.org/officeDocument/2006/relationships/hyperlink" Target="https://s.wanfangdata.com.cn/paper?q=%E8%8B%AF%E7%A3%BA%E9%85%B8%E6%B0%A8%E6%B0%AF%E5%9C%B0%E5%B9%B3" TargetMode="External"/><Relationship Id="rIdma8p0ibtpl7ngw6rkpl5n" Type="http://schemas.openxmlformats.org/officeDocument/2006/relationships/hyperlink" Target="https://s.wanfangdata.com.cn/paper?q=%E6%9B%BF%E7%B1%B3%E6%B2%99%E5%9D%A6" TargetMode="External"/><Relationship Id="rId4xdfi2lvd_ovwxc6i3lmr" Type="http://schemas.openxmlformats.org/officeDocument/2006/relationships/hyperlink" Target="https://clinicaltrials.gov/study/NCT04278404" TargetMode="External"/><Relationship Id="rIdvoz8tqdtt88yr4yy2vqub" Type="http://schemas.openxmlformats.org/officeDocument/2006/relationships/hyperlink" Target="https://clinicaltrials.gov/study/NCT06604897" TargetMode="External"/><Relationship Id="rIdft9yy1svu5lpgrhzahedp" Type="http://schemas.openxmlformats.org/officeDocument/2006/relationships/hyperlink" Target="https://pubmed.ncbi.nlm.nih.gov/41151805/" TargetMode="External"/><Relationship Id="rIdoiwexyddidoyp1_1phhpc" Type="http://schemas.openxmlformats.org/officeDocument/2006/relationships/hyperlink" Target="https://pubmed.ncbi.nlm.nih.gov/42660976/" TargetMode="External"/><Relationship Id="rId2mjntb3xqst0dk3a-jstx" Type="http://schemas.openxmlformats.org/officeDocument/2006/relationships/hyperlink" Target="https://mp.weixin.qq.com/s?src=11&amp;timestamp=1788834973&amp;ver=6953&amp;signature=w3Vxx6lLQPkdywMiVxktXkDkw4clLA2d2vqo8pJ8TbMlCZ9bk0TN*kEmF5kLKYsSPagqYhWxsb0J7DUQP4J8bXOHgoUwKnLQCIC9yT3uErM80jUMiw5kKyS9hm0Ap8Rw&amp;new=1" TargetMode="External"/><Relationship Id="rId5y0g5kjsbei4npl7cogea" Type="http://schemas.openxmlformats.org/officeDocument/2006/relationships/hyperlink" Target="https://pubmed.ncbi.nlm.nih.gov/42639676/" TargetMode="External"/><Relationship Id="rIdqp-d3ygzk6lkcjrjnbo_j" Type="http://schemas.openxmlformats.org/officeDocument/2006/relationships/hyperlink" Target="https://pubmed.ncbi.nlm.nih.gov/42652696/" TargetMode="External"/><Relationship Id="rIdtslcpxp_lddwieamk5amp" Type="http://schemas.openxmlformats.org/officeDocument/2006/relationships/hyperlink" Target="https://pubmed.ncbi.nlm.nih.gov/42656495/"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2026年8月络活喜关注报告</dc:title>
  <dc:creator>Codex</dc:creator>
  <cp:lastModifiedBy>Un-named</cp:lastModifiedBy>
  <cp:revision>1</cp:revision>
  <dcterms:created xsi:type="dcterms:W3CDTF">2026-09-08T04:16:23.091Z</dcterms:created>
  <dcterms:modified xsi:type="dcterms:W3CDTF">2026-09-08T04:16:23.091Z</dcterms:modified>
</cp:coreProperties>
</file>

<file path=docProps/custom.xml><?xml version="1.0" encoding="utf-8"?>
<Properties xmlns="http://schemas.openxmlformats.org/officeDocument/2006/custom-properties" xmlns:vt="http://schemas.openxmlformats.org/officeDocument/2006/docPropsVTypes"/>
</file>