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爱宁达｜2026年8月关注报告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56</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8月外用非激素方案与系统性 AD 治疗都有更新，爱宁达直接比较仍应优先看皮肤外用方案。</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56 条有效产品/竞品进展，其中 2 条建议跟进、0 条为高证据。优先记录包括《1% Tapinarof乳膏在日本用于特应性皮炎和斑块状银屑病的真实世界疗效、治疗过程及安全性研究。》、《曲尼司特/罗红霉素联合外用他克莫司治疗难治性特应性面部湿疹：病例报告。》。</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优先查看生物制剂竞品；Dupixent、系统治疗竞品；Rinvoq、系统治疗竞品；Cibinqo、生物制剂竞品；Mitchga/Nemluvio，并把同一研究在不同检索路径下的重复命中合并判断。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爱宁达是乳膏，最直接的竞争来自外用方案；系统治疗则影响中重度患者升级路径和轻中度阶段的早期控制逻辑。</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严格排除滴眼液、移植等非皮肤外用剂型；单独比较外用非激素、外用 JAK 和系统治疗；更新轻中度 AD、敏感部位和长期管理的沟通要点。</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2026-08-06</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1% Tapinarof乳膏在日本用于特应性皮炎和斑块状银屑病的真实世界疗效、治疗过程及安全性研究。</w:t>
            </w:r>
          </w:p>
          <w:p>
            <w:pPr>
              <w:spacing w:after="0" w:before="0" w:line="320"/>
            </w:pPr>
            <w:r>
              <w:rPr>
                <w:rFonts w:ascii="Microsoft YaHei UI" w:cs="Microsoft YaHei UI" w:eastAsia="Microsoft YaHei UI" w:hAnsi="Microsoft YaHei UI"/>
                <w:color w:val="5F706E"/>
                <w:sz w:val="20"/>
                <w:szCs w:val="20"/>
              </w:rPr>
              <w:t xml:space="preserve">论文内容：背景：1%他吡罗夫乳膏是一种非甾体外用芳香烃受体调节剂，已在日本获批用于特应性皮炎（AD）和斑块状银屑病。目前关于其纵向结局、治疗持续、中断与重启情况以及不良事件发生时间的真实世界数据较为有限。方法：本单中心回顾性研究纳入2024年11月至2025年7月24日期间新处方1%他吡罗夫乳膏的患者。全分析集包含37例特应性皮炎患者和58例斑块状银屑病患者。主要终点为特应性皮炎患者第8周时的湿疹面积与严重度指数改善50%（EASI50），以及银屑病患者第12周时的银屑病面积与严重度指数改善75%（PASI75）。报告了观察病例分析和无应答者填补（NRI）分析的结果。结果：在特应性皮炎队列中，24例可评估患者中有12例（50.</w:t>
            </w:r>
          </w:p>
          <w:p>
            <w:pPr>
              <w:spacing w:after="0" w:before="80"/>
            </w:pPr>
            <w:hyperlink w:history="1" r:id="rIdjw-dqcxhck89nzfx1-hgg">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直接竞品；Vtama/本维莫德</w:t>
            </w:r>
          </w:p>
          <w:p>
            <w:pPr>
              <w:spacing w:after="0" w:before="0" w:line="320"/>
            </w:pPr>
            <w:r>
              <w:rPr>
                <w:rFonts w:ascii="Microsoft YaHei UI" w:cs="Microsoft YaHei UI" w:eastAsia="Microsoft YaHei UI" w:hAnsi="Microsoft YaHei UI"/>
                <w:color w:val="152625"/>
                <w:sz w:val="20"/>
                <w:szCs w:val="20"/>
              </w:rPr>
              <w:t xml:space="preserve">该文涉及本维莫德及爱宁达的直接竞品追踪路径；应依据原文研究人群、终点与研究设计判断临床适用性，不把题名当作疗效结论。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2026-08-25</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曲尼司特/罗红霉素联合外用他克莫司治疗难治性特应性面部湿疹：病例报告。</w:t>
            </w:r>
          </w:p>
          <w:p>
            <w:pPr>
              <w:spacing w:after="0" w:before="0" w:line="320"/>
            </w:pPr>
            <w:r>
              <w:rPr>
                <w:rFonts w:ascii="Microsoft YaHei UI" w:cs="Microsoft YaHei UI" w:eastAsia="Microsoft YaHei UI" w:hAnsi="Microsoft YaHei UI"/>
                <w:color w:val="5F706E"/>
                <w:sz w:val="20"/>
                <w:szCs w:val="20"/>
              </w:rPr>
              <w:t xml:space="preserve">论文内容：特应性皮炎的一个治疗难点是面部湿疹，由于面部皮肤的敏感性，其需要精细的管理。本报告介绍了1例30岁男性特应性皮炎相关面部湿疹患者，该疾病经常规治疗（即使持续口服倍他米松）仍无法治愈。面部皮损采用儿童用0.03%他克莫司软膏治疗，患者同时服用曲尼司特200mg/日和罗红霉素300mg/日。3周内，患者面部湿疹样皮损及剧烈瘙痒均完全消退。 加用该联合疗法可能是治疗难治性特应性皮炎的一种有前景的治疗策略，尤其适用于面部湿疹及瘙痒症状。 原始期刊：International journal of clinical pharmacology and therapeutics；PMID：42638546。</w:t>
            </w:r>
          </w:p>
          <w:p>
            <w:pPr>
              <w:spacing w:after="0" w:before="80"/>
            </w:pPr>
            <w:hyperlink w:history="1" r:id="rIdkrlmrihtvslx52ccbaiq-">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直接竞品；Protopic</w:t>
            </w:r>
          </w:p>
          <w:p>
            <w:pPr>
              <w:spacing w:after="0" w:before="0" w:line="320"/>
            </w:pPr>
            <w:r>
              <w:rPr>
                <w:rFonts w:ascii="Microsoft YaHei UI" w:cs="Microsoft YaHei UI" w:eastAsia="Microsoft YaHei UI" w:hAnsi="Microsoft YaHei UI"/>
                <w:color w:val="152625"/>
                <w:sz w:val="20"/>
                <w:szCs w:val="20"/>
              </w:rPr>
              <w:t xml:space="preserve">该文涉及他克莫司及爱宁达的直接竞品追踪路径；应依据原文研究人群、终点与研究设计判断临床适用性，不把题名当作疗效结论。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2026-08-05</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他克莫司软膏——过敏性接触性皮炎中蜂蜡暴露的隐藏来源：2例病例报告。</w:t>
            </w:r>
          </w:p>
          <w:p>
            <w:pPr>
              <w:spacing w:after="0" w:before="0" w:line="320"/>
            </w:pPr>
            <w:r>
              <w:rPr>
                <w:rFonts w:ascii="Microsoft YaHei UI" w:cs="Microsoft YaHei UI" w:eastAsia="Microsoft YaHei UI" w:hAnsi="Microsoft YaHei UI"/>
                <w:color w:val="5F706E"/>
                <w:sz w:val="20"/>
                <w:szCs w:val="20"/>
              </w:rPr>
              <w:t xml:space="preserve">来源未提供摘要，不能据此判断研究结论。原始期刊：Contact dermatitis；PMID：42554369。</w:t>
            </w:r>
          </w:p>
          <w:p>
            <w:pPr>
              <w:spacing w:after="0" w:before="80"/>
            </w:pPr>
            <w:hyperlink w:history="1" r:id="rIdqcmpvgdy1xjdsydptl6d_">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直接竞品；Protopic</w:t>
            </w:r>
          </w:p>
          <w:p>
            <w:pPr>
              <w:spacing w:after="0" w:before="0" w:line="320"/>
            </w:pPr>
            <w:r>
              <w:rPr>
                <w:rFonts w:ascii="Microsoft YaHei UI" w:cs="Microsoft YaHei UI" w:eastAsia="Microsoft YaHei UI" w:hAnsi="Microsoft YaHei UI"/>
                <w:color w:val="152625"/>
                <w:sz w:val="20"/>
                <w:szCs w:val="20"/>
              </w:rPr>
              <w:t xml:space="preserve">该文涉及他克莫司及爱宁达的直接竞品追踪路径；应依据原文研究人群、终点与研究设计判断临床适用性，不把题名当作疗效结论。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2026-08-05</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一项为期32周的试验，评估Tralokinumab用于适合系统治疗的中重度特应性手部湿疹受试者的疗效与安全性</w:t>
            </w:r>
          </w:p>
          <w:p>
            <w:pPr>
              <w:spacing w:after="0" w:before="0" w:line="320"/>
            </w:pPr>
            <w:r>
              <w:rPr>
                <w:rFonts w:ascii="Microsoft YaHei UI" w:cs="Microsoft YaHei UI" w:eastAsia="Microsoft YaHei UI" w:hAnsi="Microsoft YaHei UI"/>
                <w:color w:val="5F706E"/>
                <w:sz w:val="20"/>
                <w:szCs w:val="20"/>
              </w:rPr>
              <w:t xml:space="preserve">8月事件：首次公布结果（2026-08-05）；登记号：NCT05958407；登记状态：已完成；阶段：3期；疾病：特应性皮炎、特应性手部湿疹；干预：曲洛利单抗、安慰剂。研究说明：本研究的目的是检验曲洛利单抗（tralokinumab）治疗中重度特应性手部湿疹的安全性和有效性。该目的将通过一系列评估来判定，这些评估对特应性手部湿疹的严重程度、范围及其症状，以及总体健康状况和生活质量进行评分。每名受试者的试验时长最长为40周。每名受试者最多需完成15次访视，其中3次将通过电话进行。试验的第一部分称为筛选期，时长最长为4周。筛选后的前16周内，试验受试者每两周接受一次曲洛利单抗或安慰剂注射。</w:t>
            </w:r>
          </w:p>
          <w:p>
            <w:pPr>
              <w:spacing w:after="0" w:before="80"/>
            </w:pPr>
            <w:hyperlink w:history="1" r:id="rIdd7koz3syjl-5_kwbtkrjx">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生物制剂竞品；Adbry/Adtralza</w:t>
            </w:r>
          </w:p>
          <w:p>
            <w:pPr>
              <w:spacing w:after="0" w:before="0" w:line="320"/>
            </w:pPr>
            <w:r>
              <w:rPr>
                <w:rFonts w:ascii="Microsoft YaHei UI" w:cs="Microsoft YaHei UI" w:eastAsia="Microsoft YaHei UI" w:hAnsi="Microsoft YaHei UI"/>
                <w:color w:val="152625"/>
                <w:sz w:val="20"/>
                <w:szCs w:val="20"/>
              </w:rPr>
              <w:t xml:space="preserve">这是生物制剂竞品路径的临床登记首次公布结果，并非已经证实疗效；需核对其适应症、入排标准及终点是否与爱宁达人群可比。</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2026-08-30</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乌帕替尼治疗特应性皮炎的停药原因及复发风险研究</w:t>
            </w:r>
          </w:p>
          <w:p>
            <w:pPr>
              <w:spacing w:after="0" w:before="0" w:line="320"/>
            </w:pPr>
            <w:r>
              <w:rPr>
                <w:rFonts w:ascii="Microsoft YaHei UI" w:cs="Microsoft YaHei UI" w:eastAsia="Microsoft YaHei UI" w:hAnsi="Microsoft YaHei UI"/>
                <w:color w:val="5F706E"/>
                <w:sz w:val="20"/>
                <w:szCs w:val="20"/>
              </w:rPr>
              <w:t xml:space="preserve">论文内容：背景：在中重度特应性皮炎（AD）的治疗中，乌帕替尼等Janus激酶抑制剂的治疗中断情况较为常见，这往往会导致疾病复发，增加患者负担。目的：探讨乌帕替尼的停药原因、相关风险因素以及患者再次使用乌帕替尼的意愿。方法：本回顾性研究于2026年2月至3月从湘雅第三医院纳入104例AD患者（停药组50例，未停药组54例）。收集了皮肤病生活质量指数（DLQI）、瘙痒数字评分量表（pruritus NRS）和睡眠障碍数字评分量表（SD-NRS）的相关数据。复发定义为停药后瘙痒程度升高≥25%。研究采用χ²检验、Fisher精确检验、t检验和逻辑回归分析。结果：两组患者使用乌帕替尼后，瘙痒症状均得到显著缓解，睡眠状况均有所改善。</w:t>
            </w:r>
          </w:p>
          <w:p>
            <w:pPr>
              <w:spacing w:after="0" w:before="80"/>
            </w:pPr>
            <w:hyperlink w:history="1" r:id="rId7knlqwfd2paeblafovqfc">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系统治疗竞品；Rinvoq</w:t>
            </w:r>
          </w:p>
          <w:p>
            <w:pPr>
              <w:spacing w:after="0" w:before="0" w:line="320"/>
            </w:pPr>
            <w:r>
              <w:rPr>
                <w:rFonts w:ascii="Microsoft YaHei UI" w:cs="Microsoft YaHei UI" w:eastAsia="Microsoft YaHei UI" w:hAnsi="Microsoft YaHei UI"/>
                <w:color w:val="152625"/>
                <w:sz w:val="20"/>
                <w:szCs w:val="20"/>
              </w:rPr>
              <w:t xml:space="preserve">该文涉及乌帕替尼及爱宁达的系统治疗竞品追踪路径；应依据原文研究人群、终点与研究设计判断临床适用性，不把题名当作疗效结论。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2026-08-29</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基于电子健康记录和行政理赔数据的美国阿可替尼用于中重度特应性皮炎的真实世界应用情况。</w:t>
            </w:r>
          </w:p>
          <w:p>
            <w:pPr>
              <w:spacing w:after="0" w:before="0" w:line="320"/>
            </w:pPr>
            <w:r>
              <w:rPr>
                <w:rFonts w:ascii="Microsoft YaHei UI" w:cs="Microsoft YaHei UI" w:eastAsia="Microsoft YaHei UI" w:hAnsi="Microsoft YaHei UI"/>
                <w:color w:val="5F706E"/>
                <w:sz w:val="20"/>
                <w:szCs w:val="20"/>
              </w:rPr>
              <w:t xml:space="preserve">论文内容：引言：阿可替尼已获批用于中重度特应性皮炎（AD）的治疗。目前阿可替尼的真实世界使用数据较为有限。本研究旨在描述美国临床环境中启动阿可替尼治疗的患者特征。方法：本回顾性观察研究纳入OMNY Health真实世界数据平台中2017年1月1日至2025年10月31日期间、年龄≥12岁的AD患者，数据采用关联理赔数据（索引日期为阿可替尼启动日）和电子健康记录。评估患者的基线人口统计学资料、疾病特征、合并症、用药史及医疗资源利用情况。评估了首次给药后12个月内的Abrocitinib剂量调整情况、早期持续用药情况（首次给药后60天内处方续配）以及特应性皮炎（AD）严重程度较基线的变化。</w:t>
            </w:r>
          </w:p>
          <w:p>
            <w:pPr>
              <w:spacing w:after="0" w:before="80"/>
            </w:pPr>
            <w:hyperlink w:history="1" r:id="rIdj7a_bypymqpa2d1sq6vhj">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系统治疗竞品；Cibinqo</w:t>
            </w:r>
          </w:p>
          <w:p>
            <w:pPr>
              <w:spacing w:after="0" w:before="0" w:line="320"/>
            </w:pPr>
            <w:r>
              <w:rPr>
                <w:rFonts w:ascii="Microsoft YaHei UI" w:cs="Microsoft YaHei UI" w:eastAsia="Microsoft YaHei UI" w:hAnsi="Microsoft YaHei UI"/>
                <w:color w:val="152625"/>
                <w:sz w:val="20"/>
                <w:szCs w:val="20"/>
              </w:rPr>
              <w:t xml:space="preserve">该文涉及阿布昔替尼及爱宁达的系统治疗竞品追踪路径；应依据原文研究人群、终点与研究设计判断临床适用性，不把题名当作疗效结论。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2026-08-27</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度普利尤单抗治疗合并4~5期慢性肾脏病的中重度特应性皮炎患者的有效性及肾脏安全性：一项中国真实世界队列研究。</w:t>
            </w:r>
          </w:p>
          <w:p>
            <w:pPr>
              <w:spacing w:after="0" w:before="0" w:line="320"/>
            </w:pPr>
            <w:r>
              <w:rPr>
                <w:rFonts w:ascii="Microsoft YaHei UI" w:cs="Microsoft YaHei UI" w:eastAsia="Microsoft YaHei UI" w:hAnsi="Microsoft YaHei UI"/>
                <w:color w:val="5F706E"/>
                <w:sz w:val="20"/>
                <w:szCs w:val="20"/>
              </w:rPr>
              <w:t xml:space="preserve">论文内容：背景：尽管度普利尤单抗广泛用于特应性皮炎（AD）的治疗，但其在重度肾衰竭患者中的安全性和有效性仍缺乏充分研究。目的：评估该人群中使用度普利尤单抗的真实世界有效性及肾脏安全性。方法：本队列研究纳入30例合并4-5期慢性肾脏病（CKD）的成人中重度AD患者。患者被分为度普利尤单抗治疗组（n = 17）和接受常规治疗的对照组（n = 13）。采用峰值瘙痒数字评分量表和研究者总体评估评估有效性。通过估算肾小球滤过率（eGFR）和血清肌酐水平评估肾脏安全性，采用线性混合效应模型进行分析。结果：度普利尤单抗组在第30天的峰值瘙痒数字评分量表（PP-NRS）下降数值更大（4.6分对比2.</w:t>
            </w:r>
          </w:p>
          <w:p>
            <w:pPr>
              <w:spacing w:after="0" w:before="80"/>
            </w:pPr>
            <w:hyperlink w:history="1" r:id="rIdnrkaktqi1heb4tj0v4pg2">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生物制剂竞品；Dupixent</w:t>
            </w:r>
          </w:p>
          <w:p>
            <w:pPr>
              <w:spacing w:after="0" w:before="0" w:line="320"/>
            </w:pPr>
            <w:r>
              <w:rPr>
                <w:rFonts w:ascii="Microsoft YaHei UI" w:cs="Microsoft YaHei UI" w:eastAsia="Microsoft YaHei UI" w:hAnsi="Microsoft YaHei UI"/>
                <w:color w:val="152625"/>
                <w:sz w:val="20"/>
                <w:szCs w:val="20"/>
              </w:rPr>
              <w:t xml:space="preserve">该文涉及度普利尤单抗及爱宁达的生物制剂竞品追踪路径；应依据原文研究人群、终点与研究设计判断临床适用性，不把题名当作疗效结论。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2026-08-26</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度普利尤单抗、奈莫利珠单抗、曲罗芦单抗或来瑞组单抗使用后报告的皮肤淋巴瘤：基于JADER数据库的病例调查与失衡分析。</w:t>
            </w:r>
          </w:p>
          <w:p>
            <w:pPr>
              <w:spacing w:after="0" w:before="0" w:line="320"/>
            </w:pPr>
            <w:r>
              <w:rPr>
                <w:rFonts w:ascii="Microsoft YaHei UI" w:cs="Microsoft YaHei UI" w:eastAsia="Microsoft YaHei UI" w:hAnsi="Microsoft YaHei UI"/>
                <w:color w:val="5F706E"/>
                <w:sz w:val="20"/>
                <w:szCs w:val="20"/>
              </w:rPr>
              <w:t xml:space="preserve">论文内容：度普利尤单抗给药后皮肤淋巴瘤（CL）的报告数量不断增加，最常发生于特应性皮炎（AD）患者中。然而，关于CL与其他用于治疗AD的生物制剂（奈莫利珠单抗、曲罗芦单抗或来瑞组单抗）之间关联的信息十分有限。迄今为止，日本尚未有大规模药物警戒研究对该问题进行系统评估。因此，我们利用日本药物不良事件报告（JADER）数据库开展了病例调查与失衡分析，对2004年4月至2025年8月期间登记的报告进行了分析。采用报告比值比（ROR）和信息成分（IC）分别进行频率法与贝叶斯法失衡分析。在纳入JADER数据库所有报告的初步分析中，度普利尤单抗的ROR为257.64（95%置信区间[CI]，164.50-404.39），IC为4.</w:t>
            </w:r>
          </w:p>
          <w:p>
            <w:pPr>
              <w:spacing w:after="0" w:before="80"/>
            </w:pPr>
            <w:hyperlink w:history="1" r:id="rIdyjckpk0cexnioe2huxngt">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生物制剂竞品；Ebglyss</w:t>
            </w:r>
          </w:p>
          <w:p>
            <w:pPr>
              <w:spacing w:after="0" w:before="0" w:line="320"/>
            </w:pPr>
            <w:r>
              <w:rPr>
                <w:rFonts w:ascii="Microsoft YaHei UI" w:cs="Microsoft YaHei UI" w:eastAsia="Microsoft YaHei UI" w:hAnsi="Microsoft YaHei UI"/>
                <w:color w:val="152625"/>
                <w:sz w:val="20"/>
                <w:szCs w:val="20"/>
              </w:rPr>
              <w:t xml:space="preserve">该文涉及来布奇珠单抗及爱宁达的生物制剂竞品追踪路径；应依据原文研究人群、终点与研究设计判断临床适用性，不把题名当作疗效结论。</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2026-08-28</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马琳｜首都医科大学附属北京儿童医院</w:t>
            </w:r>
          </w:p>
          <w:p>
            <w:pPr>
              <w:spacing w:after="70" w:before="0" w:line="340"/>
            </w:pPr>
            <w:r>
              <w:rPr>
                <w:rFonts w:ascii="Microsoft YaHei UI" w:cs="Microsoft YaHei UI" w:eastAsia="Microsoft YaHei UI" w:hAnsi="Microsoft YaHei UI"/>
                <w:b/>
                <w:bCs/>
                <w:color w:val="152625"/>
                <w:sz w:val="22"/>
                <w:szCs w:val="22"/>
              </w:rPr>
              <w:t xml:space="preserve">儿童和青少年特应性皮炎和注意力缺陷/多动障碍合并症：流行病学、机制和临床管理。</w:t>
            </w:r>
          </w:p>
          <w:p>
            <w:pPr>
              <w:spacing w:after="0" w:before="0" w:line="320"/>
            </w:pPr>
            <w:r>
              <w:rPr>
                <w:rFonts w:ascii="Microsoft YaHei UI" w:cs="Microsoft YaHei UI" w:eastAsia="Microsoft YaHei UI" w:hAnsi="Microsoft YaHei UI"/>
                <w:color w:val="5F706E"/>
                <w:sz w:val="20"/>
                <w:szCs w:val="20"/>
              </w:rPr>
              <w:t xml:space="preserve">研究主题：儿童和青少年特应性皮炎和注意力缺陷/多动障碍合并症：流行病学、机制和临床管理。。摘要要点：特应性皮炎（AD）和注意力缺陷/多动障碍（ADHD）经常在儿童和青少年中同时发生，增加了疾病负担和临床复杂性。越来越多的证据表明，患有 AD 的儿童发生 ADHD 的风险较高，这种风险在早发、严重 AD 或严重睡眠障碍的儿童中尤其明显。推测其潜在机制涉及“炎症-瘙痒-神经行为”轴的失调。这篇叙述性综述综合了有关这种合并症的流行病学、潜在机制和临床管理的当前证据。我们建议主动筛查和积极控制皮肤炎症和瘙痒是打破这种恶性循环的关键。</w:t>
            </w:r>
          </w:p>
          <w:p>
            <w:pPr>
              <w:spacing w:after="0" w:before="80"/>
            </w:pPr>
            <w:hyperlink w:history="1" r:id="rIdn8erkqk0_cbpmnx9iesf1">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度普利尤单抗 / dupilumab / 不适用：抗体/融合蛋白/大分子药物，分子量和糖基化等取决于序列与生产工艺（17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乌帕替尼 / upadacitinib / C17H19F3N6O（9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阿布昔替尼 / abrocitinib / C14H21N5O2S（9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奈莫利珠单抗 / nemolizumab / 不适用：抗体/融合蛋白/大分子药物，分子量和糖基化等取决于序列与生产工艺（5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来布奇珠单抗 / lebrikizumab / 不适用：抗体/融合蛋白/大分子药物，分子量和糖基化等取决于序列与生产工艺（4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曲洛利单抗 / tralokinumab / 不适用：抗体/融合蛋白/大分子药物，分子量和糖基化等取决于序列与生产工艺（2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罗氟司特 / roflumilast / C17H14Cl2F2N2O3（2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本维莫德 / tapinarof / C17H18O2（2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他克莫司 / tacrolimus / C44H69NO12（2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巴瑞替尼 / baricitinib / C16H17N7O2S（1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严格排除滴眼液、移植等非皮肤外用剂型</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单独比较外用非激素、外用 JAK 和系统治疗</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更新轻中度 AD、敏感部位和长期管理的沟通要点</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爱宁达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w-dqcxhck89nzfx1-hgg" Type="http://schemas.openxmlformats.org/officeDocument/2006/relationships/hyperlink" Target="https://pubmed.ncbi.nlm.nih.gov/42563360/" TargetMode="External"/><Relationship Id="rIdkrlmrihtvslx52ccbaiq-" Type="http://schemas.openxmlformats.org/officeDocument/2006/relationships/hyperlink" Target="https://pubmed.ncbi.nlm.nih.gov/42638546/" TargetMode="External"/><Relationship Id="rIdqcmpvgdy1xjdsydptl6d_" Type="http://schemas.openxmlformats.org/officeDocument/2006/relationships/hyperlink" Target="https://pubmed.ncbi.nlm.nih.gov/42554369/" TargetMode="External"/><Relationship Id="rIdd7koz3syjl-5_kwbtkrjx" Type="http://schemas.openxmlformats.org/officeDocument/2006/relationships/hyperlink" Target="https://clinicaltrials.gov/study/NCT05958407" TargetMode="External"/><Relationship Id="rId7knlqwfd2paeblafovqfc" Type="http://schemas.openxmlformats.org/officeDocument/2006/relationships/hyperlink" Target="https://pubmed.ncbi.nlm.nih.gov/42670190/" TargetMode="External"/><Relationship Id="rIdj7a_bypymqpa2d1sq6vhj" Type="http://schemas.openxmlformats.org/officeDocument/2006/relationships/hyperlink" Target="https://pubmed.ncbi.nlm.nih.gov/42667571/" TargetMode="External"/><Relationship Id="rIdnrkaktqi1heb4tj0v4pg2" Type="http://schemas.openxmlformats.org/officeDocument/2006/relationships/hyperlink" Target="https://pubmed.ncbi.nlm.nih.gov/42723796/" TargetMode="External"/><Relationship Id="rIdyjckpk0cexnioe2huxngt" Type="http://schemas.openxmlformats.org/officeDocument/2006/relationships/hyperlink" Target="https://pubmed.ncbi.nlm.nih.gov/42643725/" TargetMode="External"/><Relationship Id="rIdn8erkqk0_cbpmnx9iesf1" Type="http://schemas.openxmlformats.org/officeDocument/2006/relationships/hyperlink" Target="https://pubmed.ncbi.nlm.nih.gov/42668711/"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2026年8月爱宁达关注报告</dc:title>
  <dc:creator>Codex</dc:creator>
  <cp:lastModifiedBy>Un-named</cp:lastModifiedBy>
  <cp:revision>1</cp:revision>
  <dcterms:created xsi:type="dcterms:W3CDTF">2026-09-28T08:54:45.299Z</dcterms:created>
  <dcterms:modified xsi:type="dcterms:W3CDTF">2026-09-28T08:54:45.299Z</dcterms:modified>
</cp:coreProperties>
</file>

<file path=docProps/custom.xml><?xml version="1.0" encoding="utf-8"?>
<Properties xmlns="http://schemas.openxmlformats.org/officeDocument/2006/custom-properties" xmlns:vt="http://schemas.openxmlformats.org/officeDocument/2006/docPropsVTypes"/>
</file>