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络活喜｜2026年8月关注报告</w:t>
      </w:r>
    </w:p>
    <w:p>
      <w:pPr>
        <w:spacing w:after="360" w:before="0" w:line="340"/>
      </w:pPr>
      <w:r>
        <w:rPr>
          <w:rFonts w:ascii="Microsoft YaHei UI" w:cs="Microsoft YaHei UI" w:eastAsia="Microsoft YaHei UI" w:hAnsi="Microsoft YaHei UI"/>
          <w:color w:val="5F706E"/>
          <w:sz w:val="22"/>
          <w:szCs w:val="22"/>
        </w:rPr>
        <w:t xml:space="preserve">2026-08-01 至 2026-08-31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5</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7</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5</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8月主要是氨氯地平三联复方及其他降压方案的登记更新，尚不能据此推断本品疗效变化。</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5 条有效产品/竞品进展，其中 0 条建议跟进、0 条为高证据。优先记录包括《高肾素表型患者从阿利吉仑序贯转换为缬沙坦及沙库巴曲缬沙坦后的肾素相关变化：一项前瞻性先导研究。》、《伊朗妊娠高血压疾病治疗中拉贝洛尔、硝苯地平与甲基多巴的成本-效果分析》。</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关注什么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优先查看同类竞品；心痛定/拜新同、复方/机制竞品；代文/倍博特相关、本品/同成分；络活喜及氨氯地平仿制药，并把同一研究在不同检索路径下的重复命中合并判断。</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复方方案和依从性证据会影响络活喜在长期管理、起始联合和合并风险患者中的定位。</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跟踪 ARB/CCB 单片复方研究和真实世界依从性；核对特殊人群中的血压终点与不良反应；补充长效平稳降压和联合治疗的医学证据。</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2026-08-18</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高肾素表型患者从阿利吉仑序贯转换为缬沙坦及沙库巴曲缬沙坦后的肾素相关变化：一项前瞻性先导研究。</w:t>
            </w:r>
          </w:p>
          <w:p>
            <w:pPr>
              <w:spacing w:after="0" w:before="0" w:line="320"/>
            </w:pPr>
            <w:r>
              <w:rPr>
                <w:rFonts w:ascii="Microsoft YaHei UI" w:cs="Microsoft YaHei UI" w:eastAsia="Microsoft YaHei UI" w:hAnsi="Microsoft YaHei UI"/>
                <w:color w:val="5F706E"/>
                <w:sz w:val="20"/>
                <w:szCs w:val="20"/>
              </w:rPr>
              <w:t xml:space="preserve">论文内容：背景：高肾素表型提示肾素-血管紧张素-醛固酮系统（RAAS）呈肾素依赖性激活，针对该表型，直接肾素抑制可能是一种机制相关的干预方式。在日本停用阿利吉仑后，接受阿利吉仑治疗的患者需转换为其他RAAS抑制剂。我们评估了从阿利吉仑序贯转换为缬沙坦及沙库巴曲缬沙坦过程中的肾素相关变化。方法：这项单中心、前瞻性、开放标签先导研究纳入了接受阿利吉仑治疗的高肾素表型患者。患者先转换为缬沙坦治疗8周，随后转换为沙库巴曲缬沙坦治疗16周。评估指标包括血浆肾素活性（PRA）、活性肾素浓度（ARC）、血浆醛固酮浓度（PAC），同时监测血压、估算肾小球滤过率（eGFR）及超声心动图参数。激素相关变量以中位数[第25至75百分位数]表示。</w:t>
            </w:r>
          </w:p>
          <w:p>
            <w:pPr>
              <w:spacing w:after="0" w:before="80"/>
            </w:pPr>
            <w:hyperlink w:history="1" r:id="rIdagd7oalwfkv7iq60v1lg9">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复方/机制竞品；代文/倍博特相关</w:t>
            </w:r>
          </w:p>
          <w:p>
            <w:pPr>
              <w:spacing w:after="0" w:before="0" w:line="320"/>
            </w:pPr>
            <w:r>
              <w:rPr>
                <w:rFonts w:ascii="Microsoft YaHei UI" w:cs="Microsoft YaHei UI" w:eastAsia="Microsoft YaHei UI" w:hAnsi="Microsoft YaHei UI"/>
                <w:color w:val="152625"/>
                <w:sz w:val="20"/>
                <w:szCs w:val="20"/>
              </w:rPr>
              <w:t xml:space="preserve">该文涉及缬沙坦及络活喜的复方/机制竞品追踪路径；应依据原文研究人群、终点与研究设计判断临床适用性，不把题名当作疗效结论。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2026-08-09</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伊朗妊娠高血压疾病治疗中拉贝洛尔、硝苯地平与甲基多巴的成本-效果分析</w:t>
            </w:r>
          </w:p>
          <w:p>
            <w:pPr>
              <w:spacing w:after="0" w:before="0" w:line="320"/>
            </w:pPr>
            <w:r>
              <w:rPr>
                <w:rFonts w:ascii="Microsoft YaHei UI" w:cs="Microsoft YaHei UI" w:eastAsia="Microsoft YaHei UI" w:hAnsi="Microsoft YaHei UI"/>
                <w:color w:val="5F706E"/>
                <w:sz w:val="20"/>
                <w:szCs w:val="20"/>
              </w:rPr>
              <w:t xml:space="preserve">论文内容：背景与目的：妊娠高血压疾病给孕产妇医疗服务带来了沉重的临床与经济负担，因此获取资源高效配置与成本-效果相关证据对治疗决策至关重要。然而，目前伊朗尚未就最具成本-效果的降压治疗方案达成明确共识。本研究评估了伊朗妊娠女性使用甲基多巴、拉贝洛尔与硝苯地平的成本-效果。方法：采用决策树框架构建决策分析模型，以比较拉贝洛尔与硝苯地平、甲基多巴的成本-效果。该模型使用已发表的随机临床试验数据及相关文献资料。研究对象为一组假设的妊娠女性，年龄18岁及以上，妊娠至少28周，患有重度高血压（收缩压≥160 mmHg或舒张压≥110 mmHg），随访时长为4个月。本分析从医疗付费方的视角开展。</w:t>
            </w:r>
          </w:p>
          <w:p>
            <w:pPr>
              <w:spacing w:after="0" w:before="80"/>
            </w:pPr>
            <w:hyperlink w:history="1" r:id="rIdsfs5c9jsfk8xpbzd3ls8f">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同类竞品；心痛定/拜新同</w:t>
            </w:r>
          </w:p>
          <w:p>
            <w:pPr>
              <w:spacing w:after="0" w:before="0" w:line="320"/>
            </w:pPr>
            <w:r>
              <w:rPr>
                <w:rFonts w:ascii="Microsoft YaHei UI" w:cs="Microsoft YaHei UI" w:eastAsia="Microsoft YaHei UI" w:hAnsi="Microsoft YaHei UI"/>
                <w:color w:val="152625"/>
                <w:sz w:val="20"/>
                <w:szCs w:val="20"/>
              </w:rPr>
              <w:t xml:space="preserve">该文涉及硝苯地平及络活喜的同类竞品追踪路径；应依据原文研究人群、终点与研究设计判断临床适用性，不把题名当作疗效结论。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2026-08-25</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低证据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序贯三联联合治疗（氨氯地平/氯沙坦/氯噻酮）在韩国高血压患者中的有效性与安全性研究</w:t>
            </w:r>
          </w:p>
          <w:p>
            <w:pPr>
              <w:spacing w:after="0" w:before="0" w:line="320"/>
            </w:pPr>
            <w:r>
              <w:rPr>
                <w:rFonts w:ascii="Microsoft YaHei UI" w:cs="Microsoft YaHei UI" w:eastAsia="Microsoft YaHei UI" w:hAnsi="Microsoft YaHei UI"/>
                <w:color w:val="5F706E"/>
                <w:sz w:val="20"/>
                <w:szCs w:val="20"/>
              </w:rPr>
              <w:t xml:space="preserve">8月事件：首次发布（2026-08-25）；登记号：NCT07784296；登记状态：招募中；阶段：不适用；疾病：高血压；干预：AMOPREL 片剂 1.67/16.67/4.17mg。 研究说明：一项评估序贯三联联合治疗（氨氯地平/氯沙坦/氯噻酮）在韩国高血压患者中有效性与安全性的多中心、前瞻性、非干预性观察性研究</w:t>
            </w:r>
          </w:p>
          <w:p>
            <w:pPr>
              <w:spacing w:after="0" w:before="80"/>
            </w:pPr>
            <w:hyperlink w:history="1" r:id="rIdip-dgspuy54exlydl29ai">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本品/同成分；络活喜及氨氯地平仿制药</w:t>
            </w:r>
          </w:p>
          <w:p>
            <w:pPr>
              <w:spacing w:after="0" w:before="0" w:line="320"/>
            </w:pPr>
            <w:r>
              <w:rPr>
                <w:rFonts w:ascii="Microsoft YaHei UI" w:cs="Microsoft YaHei UI" w:eastAsia="Microsoft YaHei UI" w:hAnsi="Microsoft YaHei UI"/>
                <w:color w:val="152625"/>
                <w:sz w:val="20"/>
                <w:szCs w:val="20"/>
              </w:rPr>
              <w:t xml:space="preserve">这是本品/同成分路径的临床登记首次发布，并非已经证实疗效；需核对其适应症、入排标准及终点是否与络活喜人群可比。</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2026-08-14</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低证据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Entresto（沙库巴曲/缬沙坦）在日本高血压患者中的有效性研究</w:t>
            </w:r>
          </w:p>
          <w:p>
            <w:pPr>
              <w:spacing w:after="0" w:before="0" w:line="320"/>
            </w:pPr>
            <w:r>
              <w:rPr>
                <w:rFonts w:ascii="Microsoft YaHei UI" w:cs="Microsoft YaHei UI" w:eastAsia="Microsoft YaHei UI" w:hAnsi="Microsoft YaHei UI"/>
                <w:color w:val="5F706E"/>
                <w:sz w:val="20"/>
                <w:szCs w:val="20"/>
              </w:rPr>
              <w:t xml:space="preserve">8月事件：研究登记实质更新（2026-08-14）；登记号：NCT06604897；登记状态：已完成；阶段：不适用；疾病：原发性高血压；干预：未标明。 研究说明：本研究为非干预性、二次数据利用的回顾性队列研究，研究中提取的数据来自M3公司所有的数据库（日本医疗数据调查系统[JAMDAS]）中已收集患者信息的二次利用。JAMDAS是一个汇总医疗信息的数据库，主要基于全科诊所的电子病历信息构建，支持实时提取病历中录入的各类信息，包括含药物转换与持续用药情况在内的处方状态、实验室检查值、临床评估评分以及合并症等。</w:t>
            </w:r>
          </w:p>
          <w:p>
            <w:pPr>
              <w:spacing w:after="0" w:before="80"/>
            </w:pPr>
            <w:hyperlink w:history="1" r:id="rIdq_fujowddg4nelpftp4b3">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复方/机制竞品；代文/倍博特相关</w:t>
            </w:r>
          </w:p>
          <w:p>
            <w:pPr>
              <w:spacing w:after="0" w:before="0" w:line="320"/>
            </w:pPr>
            <w:r>
              <w:rPr>
                <w:rFonts w:ascii="Microsoft YaHei UI" w:cs="Microsoft YaHei UI" w:eastAsia="Microsoft YaHei UI" w:hAnsi="Microsoft YaHei UI"/>
                <w:color w:val="152625"/>
                <w:sz w:val="20"/>
                <w:szCs w:val="20"/>
              </w:rPr>
              <w:t xml:space="preserve">这是复方/机制竞品路径的临床登记研究登记实质更新，并非已经证实疗效；需核对其适应症、入排标准及终点是否与络活喜人群可比。</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2026-08-13</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低证据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轻度或中度高血压患者使用硝苯地平缓释剂的研究</w:t>
            </w:r>
          </w:p>
          <w:p>
            <w:pPr>
              <w:spacing w:after="0" w:before="0" w:line="320"/>
            </w:pPr>
            <w:r>
              <w:rPr>
                <w:rFonts w:ascii="Microsoft YaHei UI" w:cs="Microsoft YaHei UI" w:eastAsia="Microsoft YaHei UI" w:hAnsi="Microsoft YaHei UI"/>
                <w:color w:val="5F706E"/>
                <w:sz w:val="20"/>
                <w:szCs w:val="20"/>
              </w:rPr>
              <w:t xml:space="preserve">8月事件：研究登记实质更新（2026-08-13）；登记号：NCT07448506；登记状态：已完成；阶段：3期；疾病：高血压（&amp;[原发性高血压]）；干预：使用30 mg硝苯地平缓释片（里士满）治疗、对照药物：30 mg硝苯地平缓释片。 研究说明：评估30mg里士满缓释硝苯地平与当前在哥伦比亚注册的30mg缓释硝苯地平的疗效，以随访第8周时确诊为轻度或中度高血压的成年患者中血压得到控制的患者比例作为评价指标。</w:t>
            </w:r>
          </w:p>
          <w:p>
            <w:pPr>
              <w:spacing w:after="0" w:before="80"/>
            </w:pPr>
            <w:hyperlink w:history="1" r:id="rIdhsiljjfu96opd5scx1ohy">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同类竞品；心痛定/拜新同</w:t>
            </w:r>
          </w:p>
          <w:p>
            <w:pPr>
              <w:spacing w:after="0" w:before="0" w:line="320"/>
            </w:pPr>
            <w:r>
              <w:rPr>
                <w:rFonts w:ascii="Microsoft YaHei UI" w:cs="Microsoft YaHei UI" w:eastAsia="Microsoft YaHei UI" w:hAnsi="Microsoft YaHei UI"/>
                <w:color w:val="152625"/>
                <w:sz w:val="20"/>
                <w:szCs w:val="20"/>
              </w:rPr>
              <w:t xml:space="preserve">这是同类竞品路径的临床登记研究登记实质更新，并非已经证实疗效；需核对其适应症、入排标准及终点是否与络活喜人群可比。</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8550"/>
      </w:tblGrid>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2026-08-27</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蔡军｜首都医科大学附属北京安贞医院</w:t>
            </w:r>
          </w:p>
          <w:p>
            <w:pPr>
              <w:spacing w:after="70" w:before="0" w:line="340"/>
            </w:pPr>
            <w:r>
              <w:rPr>
                <w:rFonts w:ascii="Microsoft YaHei UI" w:cs="Microsoft YaHei UI" w:eastAsia="Microsoft YaHei UI" w:hAnsi="Microsoft YaHei UI"/>
                <w:b/>
                <w:bCs/>
                <w:color w:val="152625"/>
                <w:sz w:val="22"/>
                <w:szCs w:val="22"/>
              </w:rPr>
              <w:t xml:space="preserve">老年高血压患者达到家庭收缩压和心血管风险。</w:t>
            </w:r>
          </w:p>
          <w:p>
            <w:pPr>
              <w:spacing w:after="0" w:before="0" w:line="320"/>
            </w:pPr>
            <w:r>
              <w:rPr>
                <w:rFonts w:ascii="Microsoft YaHei UI" w:cs="Microsoft YaHei UI" w:eastAsia="Microsoft YaHei UI" w:hAnsi="Microsoft YaHei UI"/>
                <w:color w:val="5F706E"/>
                <w:sz w:val="20"/>
                <w:szCs w:val="20"/>
              </w:rPr>
              <w:t xml:space="preserve">研究主题：老年高血压患者达到家庭收缩压和心血管风险。。摘要要点：强化血压治疗可减少心血管事件，但老年高血压患者达到的最佳家庭收缩压（SBP）水平仍不确定。这项二次分析基于老年高血压患者血压干预策略试验的数据。入组后 3 至 12 个月内获得的早晨和晚上家庭血压测量值用于计算达到的家庭 SBP。然后将参与者分为四个达到的家庭 SBP 组：&lt;125 mmHg、125-130 mmHg、130-135 mmHg 和 ≥135 mmHg。主要结局是心血管事件的综合结果。在本次分析中纳入的 7681 名参与者中，在 3.43 年的中位随访期间发生了 261 起主要事件。与家庭 SBP ≥ 135 mmHg 相比，&lt;125 mmHg 组主要复合结局的绝对风险降低了 1.70%，125-130 mmHg 组降低了 1.36%。</w:t>
            </w:r>
          </w:p>
          <w:p>
            <w:pPr>
              <w:spacing w:after="0" w:before="80"/>
            </w:pPr>
            <w:hyperlink w:history="1" r:id="rId5igyih8ogyri_ft4v4uws">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2026-08-26</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蔡军｜首都医科大学附属北京安贞医院</w:t>
            </w:r>
          </w:p>
          <w:p>
            <w:pPr>
              <w:spacing w:after="70" w:before="0" w:line="340"/>
            </w:pPr>
            <w:r>
              <w:rPr>
                <w:rFonts w:ascii="Microsoft YaHei UI" w:cs="Microsoft YaHei UI" w:eastAsia="Microsoft YaHei UI" w:hAnsi="Microsoft YaHei UI"/>
                <w:b/>
                <w:bCs/>
                <w:color w:val="152625"/>
                <w:sz w:val="22"/>
                <w:szCs w:val="22"/>
              </w:rPr>
              <w:t xml:space="preserve">中国农村地区基于社区和家庭的协调血压控制干预措施：整群随机试验。</w:t>
            </w:r>
          </w:p>
          <w:p>
            <w:pPr>
              <w:spacing w:after="0" w:before="0" w:line="320"/>
            </w:pPr>
            <w:r>
              <w:rPr>
                <w:rFonts w:ascii="Microsoft YaHei UI" w:cs="Microsoft YaHei UI" w:eastAsia="Microsoft YaHei UI" w:hAnsi="Microsoft YaHei UI"/>
                <w:color w:val="5F706E"/>
                <w:sz w:val="20"/>
                <w:szCs w:val="20"/>
              </w:rPr>
              <w:t xml:space="preserve">研究主题：中国农村地区基于社区和家庭的协调血压控制干预措施：整群随机试验。。摘要要点：背景：当前的高血压预防策略主要集中于识别和治疗患有高血压的个体。基于社区和家庭的协调干预是否可以改变收缩压（SBP）的人口分布仍不确定。目的：本研究的目的是评估以社区和家庭为中心的协调干预措施是否可以改变中国农村人口水平的 SBP 分布。方法：在这项在中国农村进行的整群随机试验中，由 40 至 80 岁成年人组成的村庄群，无论血压 (BP) 水平或高血压状况如何，都被随机分配 (1:1) 接受多方面干预或常规护理。干预措施包括社区指导员支持、富钾低钠盐替代品、家庭血压和体重监测、体育活动促进以及在最初 6 个月的主动干预阶段促进抗高血压治疗，随后在 12 个月内持续提供数字血压监测支持。</w:t>
            </w:r>
          </w:p>
          <w:p>
            <w:pPr>
              <w:spacing w:after="0" w:before="80"/>
            </w:pPr>
            <w:hyperlink w:history="1" r:id="rId2supaw7sooysrzocwevc4">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2026-08-26</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马长生｜首都医科大学附属北京安贞医院</w:t>
            </w:r>
          </w:p>
          <w:p>
            <w:pPr>
              <w:spacing w:after="70" w:before="0" w:line="340"/>
            </w:pPr>
            <w:r>
              <w:rPr>
                <w:rFonts w:ascii="Microsoft YaHei UI" w:cs="Microsoft YaHei UI" w:eastAsia="Microsoft YaHei UI" w:hAnsi="Microsoft YaHei UI"/>
                <w:b/>
                <w:bCs/>
                <w:color w:val="152625"/>
                <w:sz w:val="22"/>
                <w:szCs w:val="22"/>
              </w:rPr>
              <w:t xml:space="preserve">中国农村地区基于社区和家庭的协调血压控制干预措施：整群随机试验。</w:t>
            </w:r>
          </w:p>
          <w:p>
            <w:pPr>
              <w:spacing w:after="0" w:before="0" w:line="320"/>
            </w:pPr>
            <w:r>
              <w:rPr>
                <w:rFonts w:ascii="Microsoft YaHei UI" w:cs="Microsoft YaHei UI" w:eastAsia="Microsoft YaHei UI" w:hAnsi="Microsoft YaHei UI"/>
                <w:color w:val="5F706E"/>
                <w:sz w:val="20"/>
                <w:szCs w:val="20"/>
              </w:rPr>
              <w:t xml:space="preserve">研究主题：中国农村地区基于社区和家庭的协调血压控制干预措施：整群随机试验。。摘要要点：背景：当前的高血压预防策略主要集中于识别和治疗患有高血压的个体。基于社区和家庭的协调干预是否可以改变收缩压（SBP）的人口分布仍不确定。目的：本研究的目的是评估以社区和家庭为中心的协调干预措施是否可以改变中国农村人口水平的 SBP 分布。方法：在这项在中国农村进行的整群随机试验中，由 40 至 80 岁成年人组成的村庄群，无论血压 (BP) 水平或高血压状况如何，都被随机分配 (1:1) 接受多方面干预或常规护理。干预措施包括社区指导员支持、富钾低钠盐替代品、家庭血压和体重监测、体育活动促进以及在最初 6 个月的主动干预阶段促进抗高血压治疗，随后在 12 个月内持续提供数字血压监测支持。</w:t>
            </w:r>
          </w:p>
          <w:p>
            <w:pPr>
              <w:spacing w:after="0" w:before="80"/>
            </w:pPr>
            <w:hyperlink w:history="1" r:id="rIdifu9zkr1_j3wqi0fkp9i2">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2026-08-25</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蔡军｜首都医科大学附属北京安贞医院</w:t>
            </w:r>
          </w:p>
          <w:p>
            <w:pPr>
              <w:spacing w:after="70" w:before="0" w:line="340"/>
            </w:pPr>
            <w:r>
              <w:rPr>
                <w:rFonts w:ascii="Microsoft YaHei UI" w:cs="Microsoft YaHei UI" w:eastAsia="Microsoft YaHei UI" w:hAnsi="Microsoft YaHei UI"/>
                <w:b/>
                <w:bCs/>
                <w:color w:val="152625"/>
                <w:sz w:val="22"/>
                <w:szCs w:val="22"/>
              </w:rPr>
              <w:t xml:space="preserve">METTL7B 缓解高血压和血管重塑。</w:t>
            </w:r>
          </w:p>
          <w:p>
            <w:pPr>
              <w:spacing w:after="0" w:before="0" w:line="320"/>
            </w:pPr>
            <w:r>
              <w:rPr>
                <w:rFonts w:ascii="Microsoft YaHei UI" w:cs="Microsoft YaHei UI" w:eastAsia="Microsoft YaHei UI" w:hAnsi="Microsoft YaHei UI"/>
                <w:color w:val="5F706E"/>
                <w:sz w:val="20"/>
                <w:szCs w:val="20"/>
              </w:rPr>
              <w:t xml:space="preserve">研究主题：METTL7B 缓解高血压和血管重塑。。摘要要点：背景：高血压是心血管疾病的主要危险因素。RNA N6-甲基腺苷（m6A）修饰与高血压发病机制密切相关，但调节血压的关键 m6A 相关因素仍不清楚。本研究旨在识别这些调节因子并评估其治疗潜力。方法：我们通过甲基化 RNA 免疫沉淀测序和 RNA 测序 (RNA-seq) 评估了高血压主动脉中 RNA m6A 的变化和 METTL（甲基转移酶样）表达。使用全局Mettl7b敲除小鼠和血管平滑肌细胞（VSMC）特异性Mettl7b敲除和敲除小鼠来评估其体内作用。通过甲基化RNA免疫沉淀测序、增强交联和免疫沉淀测序以及RNA-seq鉴定下游靶基因。使用分子对接和表面等离子共振筛选 METTL7B 激活剂，并通过腹膜内注射进行体内验证。</w:t>
            </w:r>
          </w:p>
          <w:p>
            <w:pPr>
              <w:spacing w:after="0" w:before="80"/>
            </w:pPr>
            <w:hyperlink w:history="1" r:id="rIdo1kq1ak3clsxjegfvg03d">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2026-08-14</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吴新宝｜首都医科大学附属北京积水潭医院</w:t>
            </w:r>
          </w:p>
          <w:p>
            <w:pPr>
              <w:spacing w:after="70" w:before="0" w:line="340"/>
            </w:pPr>
            <w:r>
              <w:rPr>
                <w:rFonts w:ascii="Microsoft YaHei UI" w:cs="Microsoft YaHei UI" w:eastAsia="Microsoft YaHei UI" w:hAnsi="Microsoft YaHei UI"/>
                <w:b/>
                <w:bCs/>
                <w:color w:val="152625"/>
                <w:sz w:val="22"/>
                <w:szCs w:val="22"/>
              </w:rPr>
              <w:t xml:space="preserve">老年人髋部骨折手术后即刻术后脉压与三年全因死亡率之间的关联：前瞻性队列的事后分析。</w:t>
            </w:r>
          </w:p>
          <w:p>
            <w:pPr>
              <w:spacing w:after="0" w:before="0" w:line="320"/>
            </w:pPr>
            <w:r>
              <w:rPr>
                <w:rFonts w:ascii="Microsoft YaHei UI" w:cs="Microsoft YaHei UI" w:eastAsia="Microsoft YaHei UI" w:hAnsi="Microsoft YaHei UI"/>
                <w:color w:val="5F706E"/>
                <w:sz w:val="20"/>
                <w:szCs w:val="20"/>
              </w:rPr>
              <w:t xml:space="preserve">研究主题：老年人髋部骨折手术后即刻术后脉压与三年全因死亡率之间的关联：前瞻性队列的事后分析。。摘要要点：目的：术后返回病房后血压与预后的相关性尚不清楚。在这项探索性事后分析中，我们研究了老年髋部骨折患者术后收缩压（SBP）、舒张压（DBP）、平均动脉压（MAP）和脉压（PP）与三年全因死亡率的关系。方法：这项单中心事后分析使用了前瞻性收集的数据，这些数据来自 2018 年 11 月至 2019 年 11 月期间在椎管内麻醉下接受髋部骨折手术的 65 岁或以上患者。术后即刻血压定义为返回病房后记录的第一次无创袖带测量。PP 计算为 SBP 减去 DBP，MAP 计算为 (SBP + 2 × DBP)/3。所有 1052 名患者均纳入事件发生时间分析；失访的患者在他们最后一次活着的日期进行了右删失。</w:t>
            </w:r>
          </w:p>
          <w:p>
            <w:pPr>
              <w:spacing w:after="0" w:before="80"/>
            </w:pPr>
            <w:hyperlink w:history="1" r:id="rId8apetetblv_ujlvpmf5iw">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2026-08-05</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葛均波｜复旦大学附属中山医院</w:t>
            </w:r>
          </w:p>
          <w:p>
            <w:pPr>
              <w:spacing w:after="70" w:before="0" w:line="340"/>
            </w:pPr>
            <w:r>
              <w:rPr>
                <w:rFonts w:ascii="Microsoft YaHei UI" w:cs="Microsoft YaHei UI" w:eastAsia="Microsoft YaHei UI" w:hAnsi="Microsoft YaHei UI"/>
                <w:b/>
                <w:bCs/>
                <w:color w:val="152625"/>
                <w:sz w:val="22"/>
                <w:szCs w:val="22"/>
              </w:rPr>
              <w:t xml:space="preserve">心脏代谢多发病和交感神经过度活跃：肝肾联合去神经的转化原理。</w:t>
            </w:r>
          </w:p>
          <w:p>
            <w:pPr>
              <w:spacing w:after="0" w:before="0" w:line="320"/>
            </w:pPr>
            <w:r>
              <w:rPr>
                <w:rFonts w:ascii="Microsoft YaHei UI" w:cs="Microsoft YaHei UI" w:eastAsia="Microsoft YaHei UI" w:hAnsi="Microsoft YaHei UI"/>
                <w:color w:val="5F706E"/>
                <w:sz w:val="20"/>
                <w:szCs w:val="20"/>
              </w:rPr>
              <w:t xml:space="preserve">研究主题：心脏代谢多发病和交感神经过度活跃：肝肾联合去神经的转化原理。。摘要要点：心脏代谢多发病，包括 2 型糖尿病、高血压和代谢功能障碍相关的脂肪肝病，与交感神经系统过度活跃密切相关，并且仅通过药物治疗仍无法达到最佳控制。这篇最先进的综述评估了支持肝肾联合去神经术作为心脏代谢疾病的研究性神经调节策略的生物学原理、技术可行性、临床前证据和新出现的临床数据。临床前模型表明，多器官去神经可以调节交感神经活动和代谢途径，而腹腔肝去神经的早期首次人体研究表明了可行性和可接受的短期安全性。然而，目前的人类证据仍然受到样本量小、单臂设计以及缺乏假对照试验的限制，无法得出关于疗效、持久性和因果机制的明确结论。因此，肝肾联合去神经术应被视为一种转化阶段的假设生成方法。需要进行严格的随机试验来定义目标参与度、安全性、耐久性和临床相关性。</w:t>
            </w:r>
          </w:p>
          <w:p>
            <w:pPr>
              <w:spacing w:after="0" w:before="80"/>
            </w:pPr>
            <w:hyperlink w:history="1" r:id="rId4xluomh15ejbhtvwozgcb">
              <w:r>
                <w:rPr>
                  <w:rFonts w:ascii="Microsoft YaHei UI" w:cs="Microsoft YaHei UI" w:eastAsia="Microsoft YaHei UI" w:hAnsi="Microsoft YaHei UI"/>
                  <w:color w:val="1B6CA8"/>
                  <w:sz w:val="18"/>
                  <w:szCs w:val="18"/>
                  <w:u w:val="single"/>
                </w:rPr>
                <w:t xml:space="preserve">打开原始来源</w:t>
              </w:r>
            </w:hyperlink>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硝苯地平 / nifedipine / C17H18N2O6（2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缬沙坦 / valsartan / C24H29N5O3（2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苯磺酸氨氯地平 / amlodipine besylate / C26H31ClN2O8S（1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跟踪 ARB/CCB 单片复方研究和真实世界依从性</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核对特殊人群中的血压终点与不良反应</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补充长效平稳降压和联合治疗的医学证据</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络活喜 | 2026年8月产品情报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gd7oalwfkv7iq60v1lg9" Type="http://schemas.openxmlformats.org/officeDocument/2006/relationships/hyperlink" Target="https://pubmed.ncbi.nlm.nih.gov/42611097/" TargetMode="External"/><Relationship Id="rIdsfs5c9jsfk8xpbzd3ls8f" Type="http://schemas.openxmlformats.org/officeDocument/2006/relationships/hyperlink" Target="https://pubmed.ncbi.nlm.nih.gov/42577362/" TargetMode="External"/><Relationship Id="rIdip-dgspuy54exlydl29ai" Type="http://schemas.openxmlformats.org/officeDocument/2006/relationships/hyperlink" Target="https://clinicaltrials.gov/study/NCT07784296" TargetMode="External"/><Relationship Id="rIdq_fujowddg4nelpftp4b3" Type="http://schemas.openxmlformats.org/officeDocument/2006/relationships/hyperlink" Target="https://clinicaltrials.gov/study/NCT06604897" TargetMode="External"/><Relationship Id="rIdhsiljjfu96opd5scx1ohy" Type="http://schemas.openxmlformats.org/officeDocument/2006/relationships/hyperlink" Target="https://clinicaltrials.gov/study/NCT07448506" TargetMode="External"/><Relationship Id="rId5igyih8ogyri_ft4v4uws" Type="http://schemas.openxmlformats.org/officeDocument/2006/relationships/hyperlink" Target="https://pubmed.ncbi.nlm.nih.gov/42660976/" TargetMode="External"/><Relationship Id="rId2supaw7sooysrzocwevc4" Type="http://schemas.openxmlformats.org/officeDocument/2006/relationships/hyperlink" Target="https://pubmed.ncbi.nlm.nih.gov/42644782/" TargetMode="External"/><Relationship Id="rIdifu9zkr1_j3wqi0fkp9i2" Type="http://schemas.openxmlformats.org/officeDocument/2006/relationships/hyperlink" Target="https://pubmed.ncbi.nlm.nih.gov/42644782/" TargetMode="External"/><Relationship Id="rIdo1kq1ak3clsxjegfvg03d" Type="http://schemas.openxmlformats.org/officeDocument/2006/relationships/hyperlink" Target="https://pubmed.ncbi.nlm.nih.gov/42639676/" TargetMode="External"/><Relationship Id="rId8apetetblv_ujlvpmf5iw" Type="http://schemas.openxmlformats.org/officeDocument/2006/relationships/hyperlink" Target="https://pubmed.ncbi.nlm.nih.gov/42652696/" TargetMode="External"/><Relationship Id="rId4xluomh15ejbhtvwozgcb" Type="http://schemas.openxmlformats.org/officeDocument/2006/relationships/hyperlink" Target="https://pubmed.ncbi.nlm.nih.gov/42554390/"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2026年8月络活喜关注报告</dc:title>
  <dc:creator>Codex</dc:creator>
  <cp:lastModifiedBy>Un-named</cp:lastModifiedBy>
  <cp:revision>1</cp:revision>
  <dcterms:created xsi:type="dcterms:W3CDTF">2026-09-28T08:54:45.219Z</dcterms:created>
  <dcterms:modified xsi:type="dcterms:W3CDTF">2026-09-28T08:54:45.219Z</dcterms:modified>
</cp:coreProperties>
</file>

<file path=docProps/custom.xml><?xml version="1.0" encoding="utf-8"?>
<Properties xmlns="http://schemas.openxmlformats.org/officeDocument/2006/custom-properties" xmlns:vt="http://schemas.openxmlformats.org/officeDocument/2006/docPropsVTypes"/>
</file>