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0" w:line="340"/>
      </w:pPr>
      <w:r>
        <w:rPr>
          <w:rFonts w:ascii="Microsoft YaHei UI" w:cs="Microsoft YaHei UI" w:eastAsia="Microsoft YaHei UI" w:hAnsi="Microsoft YaHei UI"/>
          <w:b/>
          <w:bCs/>
          <w:color w:val="147D73"/>
          <w:sz w:val="20"/>
          <w:szCs w:val="20"/>
        </w:rPr>
        <w:t xml:space="preserve">MONTHLY PRODUCT INTELLIGENCE</w:t>
      </w:r>
    </w:p>
    <w:p>
      <w:pPr>
        <w:spacing w:after="120" w:before="0" w:line="340"/>
      </w:pPr>
      <w:r>
        <w:rPr>
          <w:rFonts w:ascii="Microsoft YaHei UI" w:cs="Microsoft YaHei UI" w:eastAsia="Microsoft YaHei UI" w:hAnsi="Microsoft YaHei UI"/>
          <w:b/>
          <w:bCs/>
          <w:color w:val="0B5C55"/>
          <w:sz w:val="40"/>
          <w:szCs w:val="40"/>
        </w:rPr>
        <w:t xml:space="preserve">左洛复｜2026年8月关注报告</w:t>
      </w:r>
    </w:p>
    <w:p>
      <w:pPr>
        <w:spacing w:after="360" w:before="0" w:line="340"/>
      </w:pPr>
      <w:r>
        <w:rPr>
          <w:rFonts w:ascii="Microsoft YaHei UI" w:cs="Microsoft YaHei UI" w:eastAsia="Microsoft YaHei UI" w:hAnsi="Microsoft YaHei UI"/>
          <w:color w:val="5F706E"/>
          <w:sz w:val="22"/>
          <w:szCs w:val="22"/>
        </w:rPr>
        <w:t xml:space="preserve">2026-08-01 至 2026-08-31</w:t>
      </w:r>
    </w:p>
    <w:tbl>
      <w:tblPr>
        <w:tblW w:type="dxa" w:w="10000"/>
        <w:tblBorders>
          <w:top w:val="none"/>
          <w:left w:val="none"/>
          <w:bottom w:val="none"/>
          <w:right w:val="none"/>
          <w:insideH w:val="none"/>
          <w:insideV w:val="single" w:color="FFFFFF" w:sz="8"/>
        </w:tblBorders>
      </w:tblPr>
      <w:tblGrid>
        <w:gridCol w:w="2000"/>
        <w:gridCol w:w="2000"/>
        <w:gridCol w:w="2000"/>
        <w:gridCol w:w="2000"/>
        <w:gridCol w:w="2000"/>
      </w:tblGrid>
      <w:tr>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47</w:t>
            </w:r>
          </w:p>
          <w:p>
            <w:pPr>
              <w:spacing w:after="0" w:before="0" w:line="340"/>
              <w:jc w:val="center"/>
            </w:pPr>
            <w:r>
              <w:rPr>
                <w:rFonts w:ascii="Microsoft YaHei UI" w:cs="Microsoft YaHei UI" w:eastAsia="Microsoft YaHei UI" w:hAnsi="Microsoft YaHei UI"/>
                <w:color w:val="5F706E"/>
                <w:sz w:val="19"/>
                <w:szCs w:val="19"/>
              </w:rPr>
              <w:t xml:space="preserve">有效进展</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1</w:t>
            </w:r>
          </w:p>
          <w:p>
            <w:pPr>
              <w:spacing w:after="0" w:before="0" w:line="340"/>
              <w:jc w:val="center"/>
            </w:pPr>
            <w:r>
              <w:rPr>
                <w:rFonts w:ascii="Microsoft YaHei UI" w:cs="Microsoft YaHei UI" w:eastAsia="Microsoft YaHei UI" w:hAnsi="Microsoft YaHei UI"/>
                <w:color w:val="5F706E"/>
                <w:sz w:val="19"/>
                <w:szCs w:val="19"/>
              </w:rPr>
              <w:t xml:space="preserve">建议跟进</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0</w:t>
            </w:r>
          </w:p>
          <w:p>
            <w:pPr>
              <w:spacing w:after="0" w:before="0" w:line="340"/>
              <w:jc w:val="center"/>
            </w:pPr>
            <w:r>
              <w:rPr>
                <w:rFonts w:ascii="Microsoft YaHei UI" w:cs="Microsoft YaHei UI" w:eastAsia="Microsoft YaHei UI" w:hAnsi="Microsoft YaHei UI"/>
                <w:color w:val="5F706E"/>
                <w:sz w:val="19"/>
                <w:szCs w:val="19"/>
              </w:rPr>
              <w:t xml:space="preserve">高证据</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0</w:t>
            </w:r>
          </w:p>
          <w:p>
            <w:pPr>
              <w:spacing w:after="0" w:before="0" w:line="340"/>
              <w:jc w:val="center"/>
            </w:pPr>
            <w:r>
              <w:rPr>
                <w:rFonts w:ascii="Microsoft YaHei UI" w:cs="Microsoft YaHei UI" w:eastAsia="Microsoft YaHei UI" w:hAnsi="Microsoft YaHei UI"/>
                <w:color w:val="5F706E"/>
                <w:sz w:val="19"/>
                <w:szCs w:val="19"/>
              </w:rPr>
              <w:t xml:space="preserve">KOL记录</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0</w:t>
            </w:r>
          </w:p>
          <w:p>
            <w:pPr>
              <w:spacing w:after="0" w:before="0" w:line="340"/>
              <w:jc w:val="center"/>
            </w:pPr>
            <w:r>
              <w:rPr>
                <w:rFonts w:ascii="Microsoft YaHei UI" w:cs="Microsoft YaHei UI" w:eastAsia="Microsoft YaHei UI" w:hAnsi="Microsoft YaHei UI"/>
                <w:color w:val="5F706E"/>
                <w:sz w:val="19"/>
                <w:szCs w:val="19"/>
              </w:rPr>
              <w:t xml:space="preserve">涉及专家</w:t>
            </w:r>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管理层摘要</w:t>
      </w:r>
    </w:p>
    <w:tbl>
      <w:tblPr>
        <w:tblW w:type="dxa" w:w="10000"/>
        <w:tblBorders>
          <w:top w:val="single" w:color="D6E2DF" w:sz="1"/>
          <w:left w:val="single" w:color="D6E2DF" w:sz="1"/>
          <w:bottom w:val="single" w:color="D6E2DF" w:sz="1"/>
          <w:right w:val="single" w:color="D6E2DF" w:sz="1"/>
          <w:insideH w:val="single" w:color="D6E2DF" w:sz="1"/>
          <w:insideV w:val="single" w:color="D6E2DF" w:sz="1"/>
        </w:tblBorders>
      </w:tblPr>
      <w:tblGrid>
        <w:gridCol w:w="1750"/>
        <w:gridCol w:w="8250"/>
      </w:tblGrid>
      <w:tr>
        <w:tc>
          <w:tcPr>
            <w:tcW w:type="dxa" w:w="1750"/>
            <w:shd w:fill="DDF1EC"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一句话结论</w:t>
            </w:r>
          </w:p>
        </w:tc>
        <w:tc>
          <w:tcPr>
            <w:tcW w:type="dxa" w:w="8250"/>
            <w:shd w:fill="F2FAF8"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8月舍曲林相关综述及难治性抑郁新机制研究值得分层阅读，不能将后者直接套用于常规抑郁治疗。</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发生了什么</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本月纳入 47 条有效产品/竞品进展，其中 1 条建议跟进、0 条为高证据。优先记录包括《舍曲林作为抗抑郁药对抑郁症患者炎症细胞因子的影响：随机双盲安慰剂对照试验的系统评价与荟萃分析。》、《艾司氯胺酮鼻喷剂在重度抑郁症患者中的真实世界临床实践、有效性与安全性：一项法国前瞻性队列研究（ELLIPSE研究）。》。</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关注什么</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优先查看潜在/新机制；COMP360 等、潜在/新机制；Spravato、机制竞品；心达悦/Trintellix、直接竞品；百忧解/Prozac，并把同一研究在不同检索路径下的重复命中合并判断。</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为什么关注</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艾司氯胺酮、裸盖菇素和非 SSRI 机制会影响难治性患者路径，也会反向强化左洛复在长期、安全和共病管理中的价值讨论。</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建议动作</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区分常规抑郁、难治性抑郁和焦虑/OCD 证据；跟踪新机制的持续疗效与安全性；补充左洛复在长期管理和共病患者中的差异化材料。</w:t>
            </w:r>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本月重点更新</w:t>
      </w:r>
    </w:p>
    <w:tbl>
      <w:tblPr>
        <w:tblW w:type="dxa" w:w="10000"/>
        <w:tblBorders>
          <w:top w:val="single" w:color="D6E2DF" w:sz="1"/>
          <w:left w:val="single" w:color="D6E2DF" w:sz="1"/>
          <w:bottom w:val="single" w:color="D6E2DF" w:sz="1"/>
          <w:right w:val="single" w:color="D6E2DF" w:sz="1"/>
          <w:insideH w:val="single" w:color="D6E2DF" w:sz="1"/>
          <w:insideV w:val="single" w:color="D6E2DF" w:sz="1"/>
        </w:tblBorders>
      </w:tblPr>
      <w:tblGrid>
        <w:gridCol w:w="1450"/>
        <w:gridCol w:w="5400"/>
        <w:gridCol w:w="3150"/>
      </w:tblGrid>
      <w:tr>
        <w:trPr>
          <w:tblHeader/>
        </w:trPr>
        <w:tc>
          <w:tcPr>
            <w:tcW w:type="dxa" w:w="1450"/>
            <w:shd w:fill="0B5C55"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FFFFFF"/>
                <w:sz w:val="22"/>
                <w:szCs w:val="22"/>
              </w:rPr>
              <w:t xml:space="preserve">日期 / 来源</w:t>
            </w:r>
          </w:p>
        </w:tc>
        <w:tc>
          <w:tcPr>
            <w:tcW w:type="dxa" w:w="5400"/>
            <w:shd w:fill="0B5C55"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FFFFFF"/>
                <w:sz w:val="22"/>
                <w:szCs w:val="22"/>
              </w:rPr>
              <w:t xml:space="preserve">研究或事件</w:t>
            </w:r>
          </w:p>
        </w:tc>
        <w:tc>
          <w:tcPr>
            <w:tcW w:type="dxa" w:w="3150"/>
            <w:shd w:fill="0B5C55"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FFFFFF"/>
                <w:sz w:val="22"/>
                <w:szCs w:val="22"/>
              </w:rPr>
              <w:t xml:space="preserve">判断与动作</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2026-08-06</w:t>
            </w:r>
          </w:p>
          <w:p>
            <w:pPr>
              <w:spacing w:after="60" w:before="0" w:line="340"/>
            </w:pPr>
            <w:r>
              <w:rPr>
                <w:rFonts w:ascii="Microsoft YaHei UI" w:cs="Microsoft YaHei UI" w:eastAsia="Microsoft YaHei UI" w:hAnsi="Microsoft YaHei UI"/>
                <w:color w:val="5F706E"/>
                <w:sz w:val="22"/>
                <w:szCs w:val="22"/>
              </w:rPr>
              <w:t xml:space="preserve">PubMed</w:t>
            </w:r>
          </w:p>
          <w:p>
            <w:pPr>
              <w:spacing w:after="0" w:before="0" w:line="340"/>
            </w:pPr>
            <w:r>
              <w:rPr>
                <w:rFonts w:ascii="Microsoft YaHei UI" w:cs="Microsoft YaHei UI" w:eastAsia="Microsoft YaHei UI" w:hAnsi="Microsoft YaHei UI"/>
                <w:color w:val="9A5D15"/>
                <w:sz w:val="18"/>
                <w:szCs w:val="18"/>
              </w:rPr>
              <w:t xml:space="preserve">中证据 / 视情况</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舍曲林作为抗抑郁药对抑郁症患者炎症细胞因子的影响：随机双盲安慰剂对照试验的系统评价与荟萃分析。</w:t>
            </w:r>
          </w:p>
          <w:p>
            <w:pPr>
              <w:spacing w:after="0" w:before="0" w:line="320"/>
            </w:pPr>
            <w:r>
              <w:rPr>
                <w:rFonts w:ascii="Microsoft YaHei UI" w:cs="Microsoft YaHei UI" w:eastAsia="Microsoft YaHei UI" w:hAnsi="Microsoft YaHei UI"/>
                <w:color w:val="5F706E"/>
                <w:sz w:val="20"/>
                <w:szCs w:val="20"/>
              </w:rPr>
              <w:t xml:space="preserve">论文内容：背景：舍曲林是一种广泛用于抑郁症治疗的选择性5-羟色胺再摄取抑制剂，有研究提示其可通过调控炎症通路发挥免疫调节作用；然而，关于其对循环细胞因子影响的临床证据仍存在不一致性。本系统评价与荟萃分析评估了舍曲林对成年患者炎症细胞因子的影响。方法：在LILACS、CINAHL、MEDLINE/PubMed、Cochrane Library、Scopus和Web of Science数据库中进行检索，纳入评估舍曲林与炎症生物标志物的随机单盲或双盲安慰剂对照试验。10项研究符合纳入标准。针对白细胞介素-6（IL-6）、白细胞介素-10（IL-10）和肿瘤坏死因子-α（TNF-α）开展了随机效应meta分析。</w:t>
            </w:r>
          </w:p>
          <w:p>
            <w:pPr>
              <w:spacing w:after="0" w:before="80"/>
            </w:pPr>
            <w:hyperlink w:history="1" r:id="rIdvqslj60uwtxbuts5eaijw">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本品/同成分；左洛复/Zoloft</w:t>
            </w:r>
          </w:p>
          <w:p>
            <w:pPr>
              <w:spacing w:after="0" w:before="0" w:line="320"/>
            </w:pPr>
            <w:r>
              <w:rPr>
                <w:rFonts w:ascii="Microsoft YaHei UI" w:cs="Microsoft YaHei UI" w:eastAsia="Microsoft YaHei UI" w:hAnsi="Microsoft YaHei UI"/>
                <w:color w:val="152625"/>
                <w:sz w:val="20"/>
                <w:szCs w:val="20"/>
              </w:rPr>
              <w:t xml:space="preserve">该文涉及盐酸舍曲林及左洛复的本品/同成分追踪路径；应依据原文研究人群、终点与研究设计判断临床适用性，不把题名当作疗效结论。</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2026-08-31</w:t>
            </w:r>
          </w:p>
          <w:p>
            <w:pPr>
              <w:spacing w:after="60" w:before="0" w:line="340"/>
            </w:pPr>
            <w:r>
              <w:rPr>
                <w:rFonts w:ascii="Microsoft YaHei UI" w:cs="Microsoft YaHei UI" w:eastAsia="Microsoft YaHei UI" w:hAnsi="Microsoft YaHei UI"/>
                <w:color w:val="5F706E"/>
                <w:sz w:val="22"/>
                <w:szCs w:val="22"/>
              </w:rPr>
              <w:t xml:space="preserve">PubMed</w:t>
            </w:r>
          </w:p>
          <w:p>
            <w:pPr>
              <w:spacing w:after="0" w:before="0" w:line="340"/>
            </w:pPr>
            <w:r>
              <w:rPr>
                <w:rFonts w:ascii="Microsoft YaHei UI" w:cs="Microsoft YaHei UI" w:eastAsia="Microsoft YaHei UI" w:hAnsi="Microsoft YaHei UI"/>
                <w:color w:val="9A5D15"/>
                <w:sz w:val="18"/>
                <w:szCs w:val="18"/>
              </w:rPr>
              <w:t xml:space="preserve">中证据 / 视情况</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艾司氯胺酮鼻喷剂在重度抑郁症患者中的真实世界临床实践、有效性与安全性：一项法国前瞻性队列研究（ELLIPSE研究）。</w:t>
            </w:r>
          </w:p>
          <w:p>
            <w:pPr>
              <w:spacing w:after="0" w:before="0" w:line="320"/>
            </w:pPr>
            <w:r>
              <w:rPr>
                <w:rFonts w:ascii="Microsoft YaHei UI" w:cs="Microsoft YaHei UI" w:eastAsia="Microsoft YaHei UI" w:hAnsi="Microsoft YaHei UI"/>
                <w:color w:val="5F706E"/>
                <w:sz w:val="20"/>
                <w:szCs w:val="20"/>
              </w:rPr>
              <w:t xml:space="preserve">论文内容：背景：重度抑郁症（MDD）患病率极高，且与显著的残疾及死亡风险相关。难治性抑郁症（TRD）定义为对≥2线抗抑郁治疗应答不足，目前仍是主要的治疗挑战。艾司氯胺酮鼻喷剂于2019年获批用于TRD，随机试验已证实其有效性与安全性，但真实世界证据仍较为有限。目的：ELLIPSE研究旨在描述法国常规临床实践中接受艾司氯胺酮治疗患者的特征、治疗模式及12个月结局。研究设计：ELLIPSE是一项前瞻性、多中心、观察性队列研究，纳入2021年12月至2023年7月期间起始使用艾司氯胺酮的单相重度抑郁症成人患者，随访时长为12个月。研究方法：通过标准化临床评估收集数据。使用蒙哥马利-阿斯伯格抑郁评定量表（MADRS）评估疗效。</w:t>
            </w:r>
          </w:p>
          <w:p>
            <w:pPr>
              <w:spacing w:after="0" w:before="80"/>
            </w:pPr>
            <w:hyperlink w:history="1" r:id="rId3k8p-japoaap_d_3isby7">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潜在/新机制；Spravato</w:t>
            </w:r>
          </w:p>
          <w:p>
            <w:pPr>
              <w:spacing w:after="0" w:before="0" w:line="320"/>
            </w:pPr>
            <w:r>
              <w:rPr>
                <w:rFonts w:ascii="Microsoft YaHei UI" w:cs="Microsoft YaHei UI" w:eastAsia="Microsoft YaHei UI" w:hAnsi="Microsoft YaHei UI"/>
                <w:color w:val="152625"/>
                <w:sz w:val="20"/>
                <w:szCs w:val="20"/>
              </w:rPr>
              <w:t xml:space="preserve">该文涉及盐酸艾司氯胺酮及左洛复的潜在/新机制追踪路径；应依据原文研究人群、终点与研究设计判断临床适用性，不把题名当作疗效结论。</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2026-08-29</w:t>
            </w:r>
          </w:p>
          <w:p>
            <w:pPr>
              <w:spacing w:after="60" w:before="0" w:line="340"/>
            </w:pPr>
            <w:r>
              <w:rPr>
                <w:rFonts w:ascii="Microsoft YaHei UI" w:cs="Microsoft YaHei UI" w:eastAsia="Microsoft YaHei UI" w:hAnsi="Microsoft YaHei UI"/>
                <w:color w:val="5F706E"/>
                <w:sz w:val="22"/>
                <w:szCs w:val="22"/>
              </w:rPr>
              <w:t xml:space="preserve">PubMed</w:t>
            </w:r>
          </w:p>
          <w:p>
            <w:pPr>
              <w:spacing w:after="0" w:before="0" w:line="340"/>
            </w:pPr>
            <w:r>
              <w:rPr>
                <w:rFonts w:ascii="Microsoft YaHei UI" w:cs="Microsoft YaHei UI" w:eastAsia="Microsoft YaHei UI" w:hAnsi="Microsoft YaHei UI"/>
                <w:color w:val="9A5D15"/>
                <w:sz w:val="18"/>
                <w:szCs w:val="18"/>
              </w:rPr>
              <w:t xml:space="preserve">中证据 / 视情况</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基于艾司氯胺酮的治疗、针对抑郁的元认知训练及其联合方案用于难治性抑郁：一项多中心观察性研究中抑郁症状和反刍思维的6个月变化轨迹。</w:t>
            </w:r>
          </w:p>
          <w:p>
            <w:pPr>
              <w:spacing w:after="0" w:before="0" w:line="320"/>
            </w:pPr>
            <w:r>
              <w:rPr>
                <w:rFonts w:ascii="Microsoft YaHei UI" w:cs="Microsoft YaHei UI" w:eastAsia="Microsoft YaHei UI" w:hAnsi="Microsoft YaHei UI"/>
                <w:color w:val="5F706E"/>
                <w:sz w:val="20"/>
                <w:szCs w:val="20"/>
              </w:rPr>
              <w:t xml:space="preserve">论文内容：难治性抑郁症（TRD）仍是一种负担极重的临床疾病，抑郁严重程度的改善并不一定意味着反刍等适应不良性认知-情感过程出现同步改变。我们在常规临床照护中比较了三种积极治疗条件下抑郁症状与抑郁反刍的6个月变化轨迹：不接受抑郁症特异性元认知训练的基于艾司氯胺酮鼻喷剂的治疗（ESK）、不接触艾司氯胺酮的抑郁症特异性元认知训练（D-MCT），以及艾司氯胺酮联合D-MCT治疗（D-MCT + ESK）。在65例接受筛查的患者中，12例因至少存在1项绝对禁忌证被排除，最终53例入组（ESK组n=15，D-MCT组n=12，D-MCT + ESK组n=26）。</w:t>
            </w:r>
          </w:p>
          <w:p>
            <w:pPr>
              <w:spacing w:after="0" w:before="80"/>
            </w:pPr>
            <w:hyperlink w:history="1" r:id="rIdwvowmkngzbuj7oyq3oatr">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潜在/新机制；Spravato</w:t>
            </w:r>
          </w:p>
          <w:p>
            <w:pPr>
              <w:spacing w:after="0" w:before="0" w:line="320"/>
            </w:pPr>
            <w:r>
              <w:rPr>
                <w:rFonts w:ascii="Microsoft YaHei UI" w:cs="Microsoft YaHei UI" w:eastAsia="Microsoft YaHei UI" w:hAnsi="Microsoft YaHei UI"/>
                <w:color w:val="152625"/>
                <w:sz w:val="20"/>
                <w:szCs w:val="20"/>
              </w:rPr>
              <w:t xml:space="preserve">该文涉及盐酸艾司氯胺酮及左洛复的潜在/新机制追踪路径；应依据原文研究人群、终点与研究设计判断临床适用性，不把题名当作疗效结论。</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2026-08-27</w:t>
            </w:r>
          </w:p>
          <w:p>
            <w:pPr>
              <w:spacing w:after="60" w:before="0" w:line="340"/>
            </w:pPr>
            <w:r>
              <w:rPr>
                <w:rFonts w:ascii="Microsoft YaHei UI" w:cs="Microsoft YaHei UI" w:eastAsia="Microsoft YaHei UI" w:hAnsi="Microsoft YaHei UI"/>
                <w:color w:val="5F706E"/>
                <w:sz w:val="22"/>
                <w:szCs w:val="22"/>
              </w:rPr>
              <w:t xml:space="preserve">PubMed</w:t>
            </w:r>
          </w:p>
          <w:p>
            <w:pPr>
              <w:spacing w:after="0" w:before="0" w:line="340"/>
            </w:pPr>
            <w:r>
              <w:rPr>
                <w:rFonts w:ascii="Microsoft YaHei UI" w:cs="Microsoft YaHei UI" w:eastAsia="Microsoft YaHei UI" w:hAnsi="Microsoft YaHei UI"/>
                <w:color w:val="9A5D15"/>
                <w:sz w:val="18"/>
                <w:szCs w:val="18"/>
              </w:rPr>
              <w:t xml:space="preserve">中证据 / 视情况</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马来酸氟伏沙明的药理学见解：σ1受体激动作用、多模式机制及治疗重定位。</w:t>
            </w:r>
          </w:p>
          <w:p>
            <w:pPr>
              <w:spacing w:after="0" w:before="0" w:line="320"/>
            </w:pPr>
            <w:r>
              <w:rPr>
                <w:rFonts w:ascii="Microsoft YaHei UI" w:cs="Microsoft YaHei UI" w:eastAsia="Microsoft YaHei UI" w:hAnsi="Microsoft YaHei UI"/>
                <w:color w:val="5F706E"/>
                <w:sz w:val="20"/>
                <w:szCs w:val="20"/>
              </w:rPr>
              <w:t xml:space="preserve">论文内容：马来酸氟伏沙明（FM）是一种选择性5-羟色胺再摄取抑制剂（SSRI），因其对σ1受体（σ1R）的强效激动活性而受到越来越多的关注。本综述整合了目前对其作用过程的认知，重点阐述了内质网（ER）中由σ1R介导的分子伴侣活性，该活性可减轻精神疾病和神经系统疾病中的蛋白质错误折叠、内质网应激及神经炎症。在所有SSRI类药物中，氟伏沙明对σ1R的亲和力位居前列，高于舍曲林和氟西汀，其作用机制是使σ1R与BiP分子伴侣解离，从而改善蛋白质重折叠并增强细胞恢复力。临床前实验表明，氟伏沙明可抑制未折叠蛋白反应标志物、恢复谷氨酸能传递并刺激小白蛋白中间神经元，进而在精神分裂症中产生抗精神病样作用，并对氯胺酮诱导的损伤发挥神经保护作用。</w:t>
            </w:r>
          </w:p>
          <w:p>
            <w:pPr>
              <w:spacing w:after="0" w:before="80"/>
            </w:pPr>
            <w:hyperlink w:history="1" r:id="rId1riykjmfow28jnarf7aea">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直接竞品；兰释/Luvox</w:t>
            </w:r>
          </w:p>
          <w:p>
            <w:pPr>
              <w:spacing w:after="0" w:before="0" w:line="320"/>
            </w:pPr>
            <w:r>
              <w:rPr>
                <w:rFonts w:ascii="Microsoft YaHei UI" w:cs="Microsoft YaHei UI" w:eastAsia="Microsoft YaHei UI" w:hAnsi="Microsoft YaHei UI"/>
                <w:color w:val="152625"/>
                <w:sz w:val="20"/>
                <w:szCs w:val="20"/>
              </w:rPr>
              <w:t xml:space="preserve">该文涉及马来酸氟伏沙明及左洛复的直接竞品追踪路径；应依据原文研究人群、终点与研究设计判断临床适用性，不把题名当作疗效结论。</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2026-08-21</w:t>
            </w:r>
          </w:p>
          <w:p>
            <w:pPr>
              <w:spacing w:after="60" w:before="0" w:line="340"/>
            </w:pPr>
            <w:r>
              <w:rPr>
                <w:rFonts w:ascii="Microsoft YaHei UI" w:cs="Microsoft YaHei UI" w:eastAsia="Microsoft YaHei UI" w:hAnsi="Microsoft YaHei UI"/>
                <w:color w:val="5F706E"/>
                <w:sz w:val="22"/>
                <w:szCs w:val="22"/>
              </w:rPr>
              <w:t xml:space="preserve">PubMed</w:t>
            </w:r>
          </w:p>
          <w:p>
            <w:pPr>
              <w:spacing w:after="0" w:before="0" w:line="340"/>
            </w:pPr>
            <w:r>
              <w:rPr>
                <w:rFonts w:ascii="Microsoft YaHei UI" w:cs="Microsoft YaHei UI" w:eastAsia="Microsoft YaHei UI" w:hAnsi="Microsoft YaHei UI"/>
                <w:color w:val="9A5D15"/>
                <w:sz w:val="18"/>
                <w:szCs w:val="18"/>
              </w:rPr>
              <w:t xml:space="preserve">中证据 / 视情况</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1例接受锂盐治疗的患者中，大剂量氟西汀可能相关的认知功能障碍。</w:t>
            </w:r>
          </w:p>
          <w:p>
            <w:pPr>
              <w:spacing w:after="0" w:before="0" w:line="320"/>
            </w:pPr>
            <w:r>
              <w:rPr>
                <w:rFonts w:ascii="Microsoft YaHei UI" w:cs="Microsoft YaHei UI" w:eastAsia="Microsoft YaHei UI" w:hAnsi="Microsoft YaHei UI"/>
                <w:color w:val="5F706E"/>
                <w:sz w:val="20"/>
                <w:szCs w:val="20"/>
              </w:rPr>
              <w:t xml:space="preserve">论文内容：抗抑郁药，尤其是选择性5-羟色胺再摄取抑制剂（SSRIs）如氟西汀，是广泛处方的药物。氟西汀被视为焦虑、抑郁及强迫症（OCD）等常见精神疾病的一线药物治疗方案。在大型临床试验中，过去30年间氟西汀始终表现出良好的安全性和耐受性特征。本病例报告1例36岁白人女性，有孤独症谱系障碍（ASD）和双相I型障碍病史，接受锂盐治疗，在氟西汀剂量上调后出现新发认知功能障碍。根据给药指南，她的氟西汀剂量在数周内逐渐滴定至80 mg/日。在该剂量下，她开始出现进行性记忆力减退和意识模糊，最终需住院治疗。全面评估排除了认知功能下降的其他潜在精神或躯体病因。</w:t>
            </w:r>
          </w:p>
          <w:p>
            <w:pPr>
              <w:spacing w:after="0" w:before="80"/>
            </w:pPr>
            <w:hyperlink w:history="1" r:id="rIdexgkjs8tpt2z6hmmipem8">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直接竞品；百忧解/Prozac</w:t>
            </w:r>
          </w:p>
          <w:p>
            <w:pPr>
              <w:spacing w:after="0" w:before="0" w:line="320"/>
            </w:pPr>
            <w:r>
              <w:rPr>
                <w:rFonts w:ascii="Microsoft YaHei UI" w:cs="Microsoft YaHei UI" w:eastAsia="Microsoft YaHei UI" w:hAnsi="Microsoft YaHei UI"/>
                <w:color w:val="152625"/>
                <w:sz w:val="20"/>
                <w:szCs w:val="20"/>
              </w:rPr>
              <w:t xml:space="preserve">该文涉及盐酸氟西汀及左洛复的直接竞品追踪路径；应依据原文研究人群、终点与研究设计判断临床适用性，不把题名当作疗效结论。</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2026-08-19</w:t>
            </w:r>
          </w:p>
          <w:p>
            <w:pPr>
              <w:spacing w:after="60" w:before="0" w:line="340"/>
            </w:pPr>
            <w:r>
              <w:rPr>
                <w:rFonts w:ascii="Microsoft YaHei UI" w:cs="Microsoft YaHei UI" w:eastAsia="Microsoft YaHei UI" w:hAnsi="Microsoft YaHei UI"/>
                <w:color w:val="5F706E"/>
                <w:sz w:val="22"/>
                <w:szCs w:val="22"/>
              </w:rPr>
              <w:t xml:space="preserve">PubMed</w:t>
            </w:r>
          </w:p>
          <w:p>
            <w:pPr>
              <w:spacing w:after="0" w:before="0" w:line="340"/>
            </w:pPr>
            <w:r>
              <w:rPr>
                <w:rFonts w:ascii="Microsoft YaHei UI" w:cs="Microsoft YaHei UI" w:eastAsia="Microsoft YaHei UI" w:hAnsi="Microsoft YaHei UI"/>
                <w:color w:val="9A5D15"/>
                <w:sz w:val="18"/>
                <w:szCs w:val="18"/>
              </w:rPr>
              <w:t xml:space="preserve">中证据 / 视情况</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序贯双侧重复经颅磁刺激联合氟西汀治疗青少年快感缺失型抑郁症：临床疗效与外周炎症谱。</w:t>
            </w:r>
          </w:p>
          <w:p>
            <w:pPr>
              <w:spacing w:after="0" w:before="0" w:line="320"/>
            </w:pPr>
            <w:r>
              <w:rPr>
                <w:rFonts w:ascii="Microsoft YaHei UI" w:cs="Microsoft YaHei UI" w:eastAsia="Microsoft YaHei UI" w:hAnsi="Microsoft YaHei UI"/>
                <w:color w:val="5F706E"/>
                <w:sz w:val="20"/>
                <w:szCs w:val="20"/>
              </w:rPr>
              <w:t xml:space="preserve">论文内容：目的：青少年快感缺失型抑郁症常无法对氟西汀单药治疗产生充分应答，其驱动因素为慢性外周炎症和奖赏回路功能障碍。本研究旨在比较氟西汀单药与序贯双侧重复经颅磁刺激联合氟西汀治疗青少年快感缺失型重度抑郁症的临床疗效及炎症特征。方法：该单中心4周随机对照试验纳入86名年龄在13-18岁、符合DSM-5重度抑郁发作伴显著快感缺失的中国汉族青少年，按1:1比例分配至联合组（活性双侧重复经颅磁刺激+氟西汀）和对照组（假重复经颅磁刺激+氟西汀）。81名受试者完成了治疗。主要终点为ASA-C评分的变化；次要终点包括HAMD-24总分、WCST认知指标及血浆IL-1β、IL-6和TNF-α水平的变化。</w:t>
            </w:r>
          </w:p>
          <w:p>
            <w:pPr>
              <w:spacing w:after="0" w:before="80"/>
            </w:pPr>
            <w:hyperlink w:history="1" r:id="rId_wzfxkt-pka3zgyutca6p">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直接竞品；百忧解/Prozac</w:t>
            </w:r>
          </w:p>
          <w:p>
            <w:pPr>
              <w:spacing w:after="0" w:before="0" w:line="320"/>
            </w:pPr>
            <w:r>
              <w:rPr>
                <w:rFonts w:ascii="Microsoft YaHei UI" w:cs="Microsoft YaHei UI" w:eastAsia="Microsoft YaHei UI" w:hAnsi="Microsoft YaHei UI"/>
                <w:color w:val="152625"/>
                <w:sz w:val="20"/>
                <w:szCs w:val="20"/>
              </w:rPr>
              <w:t xml:space="preserve">该文涉及盐酸氟西汀及左洛复的直接竞品追踪路径；应依据原文研究人群、终点与研究设计判断临床适用性，不把题名当作疗效结论。</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2026-08-15</w:t>
            </w:r>
          </w:p>
          <w:p>
            <w:pPr>
              <w:spacing w:after="60" w:before="0" w:line="340"/>
            </w:pPr>
            <w:r>
              <w:rPr>
                <w:rFonts w:ascii="Microsoft YaHei UI" w:cs="Microsoft YaHei UI" w:eastAsia="Microsoft YaHei UI" w:hAnsi="Microsoft YaHei UI"/>
                <w:color w:val="5F706E"/>
                <w:sz w:val="22"/>
                <w:szCs w:val="22"/>
              </w:rPr>
              <w:t xml:space="preserve">PubMed</w:t>
            </w:r>
          </w:p>
          <w:p>
            <w:pPr>
              <w:spacing w:after="0" w:before="0" w:line="340"/>
            </w:pPr>
            <w:r>
              <w:rPr>
                <w:rFonts w:ascii="Microsoft YaHei UI" w:cs="Microsoft YaHei UI" w:eastAsia="Microsoft YaHei UI" w:hAnsi="Microsoft YaHei UI"/>
                <w:color w:val="9A5D15"/>
                <w:sz w:val="18"/>
                <w:szCs w:val="18"/>
              </w:rPr>
              <w:t xml:space="preserve">中证据 / 视情况</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艾司西酞普兰联合低频重复经颅磁刺激用于缺血性卒中后抑郁伴焦虑患者的临床疗效研究。</w:t>
            </w:r>
          </w:p>
          <w:p>
            <w:pPr>
              <w:spacing w:after="0" w:before="0" w:line="320"/>
            </w:pPr>
            <w:r>
              <w:rPr>
                <w:rFonts w:ascii="Microsoft YaHei UI" w:cs="Microsoft YaHei UI" w:eastAsia="Microsoft YaHei UI" w:hAnsi="Microsoft YaHei UI"/>
                <w:color w:val="5F706E"/>
                <w:sz w:val="20"/>
                <w:szCs w:val="20"/>
              </w:rPr>
              <w:t xml:space="preserve">论文内容：背景：回顾性分析艾司西酞普兰联合低频重复经颅磁刺激（LF-rTMS）治疗缺血性卒中患者焦虑与抑郁的临床疗效。方法：回顾性纳入2025年1月至2025年12月在广西壮族自治区江滨医院接受治疗的80例合并抑郁与焦虑的缺血性卒中患者。将患者分为常规治疗组与联合治疗组，每组各40例。常规治疗组接受常规治疗联合口服艾司西酞普兰，联合治疗组接受与常规治疗组相同的治疗方案，并加用LF-rTMS。为评估临床疗效，在两组患者治疗前及治疗结束时采集汉密尔顿抑郁评定量表（HAMD）与汉密尔顿焦虑评定量表（HAMA）评分。同时对中缝核（BR）区域行经颅超声成像检查，并记录治疗期间的不良反应。结果：联合治疗组的总有效率显著高于常规治疗组。</w:t>
            </w:r>
          </w:p>
          <w:p>
            <w:pPr>
              <w:spacing w:after="0" w:before="80"/>
            </w:pPr>
            <w:hyperlink w:history="1" r:id="rIdvrdxdlccemizglp8offfk">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直接竞品；来士普/Lexapro</w:t>
            </w:r>
          </w:p>
          <w:p>
            <w:pPr>
              <w:spacing w:after="0" w:before="0" w:line="320"/>
            </w:pPr>
            <w:r>
              <w:rPr>
                <w:rFonts w:ascii="Microsoft YaHei UI" w:cs="Microsoft YaHei UI" w:eastAsia="Microsoft YaHei UI" w:hAnsi="Microsoft YaHei UI"/>
                <w:color w:val="152625"/>
                <w:sz w:val="20"/>
                <w:szCs w:val="20"/>
              </w:rPr>
              <w:t xml:space="preserve">该文涉及草酸艾司西酞普兰及左洛复的直接竞品追踪路径；应依据原文研究人群、终点与研究设计判断临床适用性，不把题名当作疗效结论。</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2026-08-28</w:t>
            </w:r>
          </w:p>
          <w:p>
            <w:pPr>
              <w:spacing w:after="60" w:before="0" w:line="340"/>
            </w:pPr>
            <w:r>
              <w:rPr>
                <w:rFonts w:ascii="Microsoft YaHei UI" w:cs="Microsoft YaHei UI" w:eastAsia="Microsoft YaHei UI" w:hAnsi="Microsoft YaHei UI"/>
                <w:color w:val="5F706E"/>
                <w:sz w:val="22"/>
                <w:szCs w:val="22"/>
              </w:rPr>
              <w:t xml:space="preserve">PubMed</w:t>
            </w:r>
          </w:p>
          <w:p>
            <w:pPr>
              <w:spacing w:after="0" w:before="0" w:line="340"/>
            </w:pPr>
            <w:r>
              <w:rPr>
                <w:rFonts w:ascii="Microsoft YaHei UI" w:cs="Microsoft YaHei UI" w:eastAsia="Microsoft YaHei UI" w:hAnsi="Microsoft YaHei UI"/>
                <w:color w:val="9A5D15"/>
                <w:sz w:val="18"/>
                <w:szCs w:val="18"/>
              </w:rPr>
              <w:t xml:space="preserve">中证据 / 视情况</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去甲文拉法辛在重度抑郁症中的真实世界有效性与耐受性：一项意大利全国多中心前瞻性队列研究。</w:t>
            </w:r>
          </w:p>
          <w:p>
            <w:pPr>
              <w:spacing w:after="0" w:before="0" w:line="320"/>
            </w:pPr>
            <w:r>
              <w:rPr>
                <w:rFonts w:ascii="Microsoft YaHei UI" w:cs="Microsoft YaHei UI" w:eastAsia="Microsoft YaHei UI" w:hAnsi="Microsoft YaHei UI"/>
                <w:color w:val="5F706E"/>
                <w:sz w:val="20"/>
                <w:szCs w:val="20"/>
              </w:rPr>
              <w:t xml:space="preserve">论文内容：引言：关于去甲文拉法辛在重性抑郁障碍（MDD）中有效性与耐受性的真实世界证据仍然有限，在临床异质性人群中尤为突出。本多中心观察性研究评估了去甲文拉法辛的真实世界有效性与耐受性，重点关注抑郁和焦虑症状、应答、缓解以及不良反应负担。方法：这项多中心前瞻性观察性研究纳入197名符合DSM-5-TR重性抑郁发作诊断、开始使用去甲文拉法辛治疗的门诊患者。分别在基线（T0）、1个月（T1）和3个月（T2）时进行评估。抑郁症状（MADRS）为主要终点； 焦虑（HAM-A）、躁狂症状（YMRS）和耐受性（ASEC）为次要终点。应答定义为MADRS评分降低≥50%，缓解定义为MADRS评分&lt;10分。结果：受试者平均年龄46.1±14.</w:t>
            </w:r>
          </w:p>
          <w:p>
            <w:pPr>
              <w:spacing w:after="0" w:before="80"/>
            </w:pPr>
            <w:hyperlink w:history="1" r:id="rIdy46pforx5cego1thsi20j">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机制竞品；Pristiq</w:t>
            </w:r>
          </w:p>
          <w:p>
            <w:pPr>
              <w:spacing w:after="0" w:before="0" w:line="320"/>
            </w:pPr>
            <w:r>
              <w:rPr>
                <w:rFonts w:ascii="Microsoft YaHei UI" w:cs="Microsoft YaHei UI" w:eastAsia="Microsoft YaHei UI" w:hAnsi="Microsoft YaHei UI"/>
                <w:color w:val="152625"/>
                <w:sz w:val="20"/>
                <w:szCs w:val="20"/>
              </w:rPr>
              <w:t xml:space="preserve">该文涉及琥珀酸去甲文拉法辛及左洛复的机制竞品追踪路径；应依据原文研究人群、终点与研究设计判断临床适用性，不把题名当作疗效结论。</w:t>
            </w:r>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KOL / 专家动态</w:t>
      </w:r>
    </w:p>
    <w:p>
      <w:pPr>
        <w:spacing w:after="140" w:before="0" w:line="340"/>
      </w:pPr>
      <w:r>
        <w:rPr>
          <w:rFonts w:ascii="Microsoft YaHei UI" w:cs="Microsoft YaHei UI" w:eastAsia="Microsoft YaHei UI" w:hAnsi="Microsoft YaHei UI"/>
          <w:color w:val="5F706E"/>
          <w:sz w:val="22"/>
          <w:szCs w:val="22"/>
        </w:rPr>
        <w:t xml:space="preserve">本月未检索到可确认身份的产品相关专家记录。</w:t>
      </w:r>
    </w:p>
    <w:p>
      <w:pPr>
        <w:pStyle w:val="Heading1"/>
        <w:keepNext/>
        <w:spacing w:after="160" w:before="300" w:line="340"/>
      </w:pPr>
      <w:r>
        <w:rPr>
          <w:rFonts w:ascii="Microsoft YaHei UI" w:cs="Microsoft YaHei UI" w:eastAsia="Microsoft YaHei UI" w:hAnsi="Microsoft YaHei UI"/>
          <w:color w:val="152625"/>
          <w:sz w:val="22"/>
          <w:szCs w:val="22"/>
        </w:rPr>
        <w:t xml:space="preserve">涉及分子 / 靶点</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裸盖菇素 / psilocybin / C12H17N2O4P（12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盐酸艾司氯胺酮 / esketamine hydrochloride / C13H17Cl2NO（10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氢溴酸伏硫西汀 / vortioxetine hydrobromide / C18H23BrN2S（4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盐酸氟西汀 / fluoxetine hydrochloride / C17H19ClF3NO（4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盐酸安非他酮 / bupropion hydrochloride / C13H19Cl2NO（3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草酸艾司西酞普兰 / escitalopram oxalate / C22H23FN2O5（3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盐酸舍曲林 / sertraline hydrochloride / C17H18Cl3N（2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右美沙芬氢溴酸盐 / dextromethorphan hydrobromide / C18H26BrNO（2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琥珀酸去甲文拉法辛 / desvenlafaxine succinate / C20H33NO7（2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米氮平 / mirtazapine / C17H19N3（1 条）</w:t>
      </w:r>
    </w:p>
    <w:p>
      <w:pPr>
        <w:pStyle w:val="Heading1"/>
        <w:keepNext/>
        <w:spacing w:after="160" w:before="300" w:line="340"/>
      </w:pPr>
      <w:r>
        <w:rPr>
          <w:rFonts w:ascii="Microsoft YaHei UI" w:cs="Microsoft YaHei UI" w:eastAsia="Microsoft YaHei UI" w:hAnsi="Microsoft YaHei UI"/>
          <w:color w:val="152625"/>
          <w:sz w:val="22"/>
          <w:szCs w:val="22"/>
        </w:rPr>
        <w:t xml:space="preserve">建议跟进</w:t>
      </w:r>
    </w:p>
    <w:p>
      <w:pPr>
        <w:pStyle w:val="ListParagraph"/>
        <w:numPr>
          <w:ilvl w:val="0"/>
          <w:numId w:val="2"/>
        </w:numPr>
        <w:spacing w:after="110" w:before="0" w:line="340"/>
      </w:pPr>
      <w:r>
        <w:rPr>
          <w:rFonts w:ascii="Microsoft YaHei UI" w:cs="Microsoft YaHei UI" w:eastAsia="Microsoft YaHei UI" w:hAnsi="Microsoft YaHei UI"/>
          <w:color w:val="152625"/>
          <w:sz w:val="22"/>
          <w:szCs w:val="22"/>
        </w:rPr>
        <w:t xml:space="preserve">区分常规抑郁、难治性抑郁和焦虑/OCD 证据</w:t>
      </w:r>
    </w:p>
    <w:p>
      <w:pPr>
        <w:pStyle w:val="ListParagraph"/>
        <w:numPr>
          <w:ilvl w:val="0"/>
          <w:numId w:val="2"/>
        </w:numPr>
        <w:spacing w:after="110" w:before="0" w:line="340"/>
      </w:pPr>
      <w:r>
        <w:rPr>
          <w:rFonts w:ascii="Microsoft YaHei UI" w:cs="Microsoft YaHei UI" w:eastAsia="Microsoft YaHei UI" w:hAnsi="Microsoft YaHei UI"/>
          <w:color w:val="152625"/>
          <w:sz w:val="22"/>
          <w:szCs w:val="22"/>
        </w:rPr>
        <w:t xml:space="preserve">跟踪新机制的持续疗效与安全性</w:t>
      </w:r>
    </w:p>
    <w:p>
      <w:pPr>
        <w:pStyle w:val="ListParagraph"/>
        <w:numPr>
          <w:ilvl w:val="0"/>
          <w:numId w:val="2"/>
        </w:numPr>
        <w:spacing w:after="110" w:before="0" w:line="340"/>
      </w:pPr>
      <w:r>
        <w:rPr>
          <w:rFonts w:ascii="Microsoft YaHei UI" w:cs="Microsoft YaHei UI" w:eastAsia="Microsoft YaHei UI" w:hAnsi="Microsoft YaHei UI"/>
          <w:color w:val="152625"/>
          <w:sz w:val="22"/>
          <w:szCs w:val="22"/>
        </w:rPr>
        <w:t xml:space="preserve">补充左洛复在长期管理和共病患者中的差异化材料</w:t>
      </w:r>
    </w:p>
    <w:sectPr>
      <w:headerReference w:type="default" r:id="rId7"/>
      <w:footerReference w:type="default" r:id="rId8"/>
      <w:pgSz w:w="11906" w:h="16838" w:orient="portrait"/>
      <w:pgMar w:top="1150" w:right="950" w:bottom="1050" w:left="9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UI" w:cs="Microsoft YaHei UI" w:eastAsia="Microsoft YaHei UI" w:hAnsi="Microsoft YaHei UI"/>
        <w:color w:val="5F706E"/>
        <w:sz w:val="17"/>
        <w:szCs w:val="17"/>
      </w:rPr>
      <w:t xml:space="preserve">内部工作材料 ·</w:t>
    </w:r>
    <w:r>
      <w:rPr>
        <w:rFonts w:ascii="Microsoft YaHei UI" w:cs="Microsoft YaHei UI" w:eastAsia="Microsoft YaHei UI" w:hAnsi="Microsoft YaHei UI"/>
        <w:color w:val="5F706E"/>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340"/>
      <w:jc w:val="right"/>
    </w:pPr>
    <w:r>
      <w:rPr>
        <w:rFonts w:ascii="Microsoft YaHei UI" w:cs="Microsoft YaHei UI" w:eastAsia="Microsoft YaHei UI" w:hAnsi="Microsoft YaHei UI"/>
        <w:color w:val="5F706E"/>
        <w:sz w:val="17"/>
        <w:szCs w:val="17"/>
      </w:rPr>
      <w:t xml:space="preserve">左洛复 | 2026年8月产品情报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UI" w:cs="Microsoft YaHei UI" w:eastAsia="Microsoft YaHei UI" w:hAnsi="Microsoft YaHei UI"/>
        <w:color w:val="152625"/>
        <w:sz w:val="22"/>
        <w:szCs w:val="22"/>
      </w:rPr>
    </w:rPrDefault>
    <w:pPrDefault>
      <w:pPr>
        <w:spacing w:after="120"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00"/>
    </w:pPr>
    <w:rPr>
      <w:rFonts w:ascii="Microsoft YaHei UI" w:cs="Microsoft YaHei UI" w:eastAsia="Microsoft YaHei UI" w:hAnsi="Microsoft YaHei UI"/>
      <w:b/>
      <w:bCs/>
      <w:color w:val="0B5C55"/>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vqslj60uwtxbuts5eaijw" Type="http://schemas.openxmlformats.org/officeDocument/2006/relationships/hyperlink" Target="https://pubmed.ncbi.nlm.nih.gov/42646594/" TargetMode="External"/><Relationship Id="rId3k8p-japoaap_d_3isby7" Type="http://schemas.openxmlformats.org/officeDocument/2006/relationships/hyperlink" Target="https://pubmed.ncbi.nlm.nih.gov/42682977/" TargetMode="External"/><Relationship Id="rIdwvowmkngzbuj7oyq3oatr" Type="http://schemas.openxmlformats.org/officeDocument/2006/relationships/hyperlink" Target="https://pubmed.ncbi.nlm.nih.gov/42667415/" TargetMode="External"/><Relationship Id="rId1riykjmfow28jnarf7aea" Type="http://schemas.openxmlformats.org/officeDocument/2006/relationships/hyperlink" Target="https://pubmed.ncbi.nlm.nih.gov/42753377/" TargetMode="External"/><Relationship Id="rIdexgkjs8tpt2z6hmmipem8" Type="http://schemas.openxmlformats.org/officeDocument/2006/relationships/hyperlink" Target="https://pubmed.ncbi.nlm.nih.gov/42630655/" TargetMode="External"/><Relationship Id="rId_wzfxkt-pka3zgyutca6p" Type="http://schemas.openxmlformats.org/officeDocument/2006/relationships/hyperlink" Target="https://pubmed.ncbi.nlm.nih.gov/42688066/" TargetMode="External"/><Relationship Id="rIdvrdxdlccemizglp8offfk" Type="http://schemas.openxmlformats.org/officeDocument/2006/relationships/hyperlink" Target="https://pubmed.ncbi.nlm.nih.gov/42633513/" TargetMode="External"/><Relationship Id="rIdy46pforx5cego1thsi20j" Type="http://schemas.openxmlformats.org/officeDocument/2006/relationships/hyperlink" Target="https://pubmed.ncbi.nlm.nih.gov/42700488/"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2026年8月左洛复关注报告</dc:title>
  <dc:creator>Codex</dc:creator>
  <cp:lastModifiedBy>Un-named</cp:lastModifiedBy>
  <cp:revision>1</cp:revision>
  <dcterms:created xsi:type="dcterms:W3CDTF">2026-09-28T08:54:45.260Z</dcterms:created>
  <dcterms:modified xsi:type="dcterms:W3CDTF">2026-09-28T08:54:45.260Z</dcterms:modified>
</cp:coreProperties>
</file>

<file path=docProps/custom.xml><?xml version="1.0" encoding="utf-8"?>
<Properties xmlns="http://schemas.openxmlformats.org/officeDocument/2006/custom-properties" xmlns:vt="http://schemas.openxmlformats.org/officeDocument/2006/docPropsVTypes"/>
</file>