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0" w:line="340"/>
      </w:pPr>
      <w:r>
        <w:rPr>
          <w:rFonts w:ascii="Microsoft YaHei UI" w:cs="Microsoft YaHei UI" w:eastAsia="Microsoft YaHei UI" w:hAnsi="Microsoft YaHei UI"/>
          <w:b/>
          <w:bCs/>
          <w:color w:val="147D73"/>
          <w:sz w:val="20"/>
          <w:szCs w:val="20"/>
        </w:rPr>
        <w:t xml:space="preserve">MONTHLY PRODUCT INTELLIGENCE</w:t>
      </w:r>
    </w:p>
    <w:p>
      <w:pPr>
        <w:spacing w:after="120" w:before="0" w:line="340"/>
      </w:pPr>
      <w:r>
        <w:rPr>
          <w:rFonts w:ascii="Microsoft YaHei UI" w:cs="Microsoft YaHei UI" w:eastAsia="Microsoft YaHei UI" w:hAnsi="Microsoft YaHei UI"/>
          <w:b/>
          <w:bCs/>
          <w:color w:val="0B5C55"/>
          <w:sz w:val="40"/>
          <w:szCs w:val="40"/>
        </w:rPr>
        <w:t xml:space="preserve">西乐葆｜2026年7月关注报告</w:t>
      </w:r>
    </w:p>
    <w:p>
      <w:pPr>
        <w:spacing w:after="360" w:before="0" w:line="340"/>
      </w:pPr>
      <w:r>
        <w:rPr>
          <w:rFonts w:ascii="Microsoft YaHei UI" w:cs="Microsoft YaHei UI" w:eastAsia="Microsoft YaHei UI" w:hAnsi="Microsoft YaHei UI"/>
          <w:color w:val="5F706E"/>
          <w:sz w:val="22"/>
          <w:szCs w:val="22"/>
        </w:rPr>
        <w:t xml:space="preserve">2026-07-01 至 2026-07-31</w:t>
      </w:r>
    </w:p>
    <w:tbl>
      <w:tblPr>
        <w:tblW w:type="dxa" w:w="10000"/>
        <w:tblBorders>
          <w:top w:val="none"/>
          <w:left w:val="none"/>
          <w:bottom w:val="none"/>
          <w:right w:val="none"/>
          <w:insideH w:val="none"/>
          <w:insideV w:val="single" w:color="FFFFFF" w:sz="8"/>
        </w:tblBorders>
      </w:tblPr>
      <w:tblGrid>
        <w:gridCol w:w="2000"/>
        <w:gridCol w:w="2000"/>
        <w:gridCol w:w="2000"/>
        <w:gridCol w:w="2000"/>
        <w:gridCol w:w="2000"/>
      </w:tblGrid>
      <w:tr>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137</w:t>
            </w:r>
          </w:p>
          <w:p>
            <w:pPr>
              <w:spacing w:after="0" w:before="0" w:line="340"/>
              <w:jc w:val="center"/>
            </w:pPr>
            <w:r>
              <w:rPr>
                <w:rFonts w:ascii="Microsoft YaHei UI" w:cs="Microsoft YaHei UI" w:eastAsia="Microsoft YaHei UI" w:hAnsi="Microsoft YaHei UI"/>
                <w:color w:val="5F706E"/>
                <w:sz w:val="19"/>
                <w:szCs w:val="19"/>
              </w:rPr>
              <w:t xml:space="preserve">有效进展</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71</w:t>
            </w:r>
          </w:p>
          <w:p>
            <w:pPr>
              <w:spacing w:after="0" w:before="0" w:line="340"/>
              <w:jc w:val="center"/>
            </w:pPr>
            <w:r>
              <w:rPr>
                <w:rFonts w:ascii="Microsoft YaHei UI" w:cs="Microsoft YaHei UI" w:eastAsia="Microsoft YaHei UI" w:hAnsi="Microsoft YaHei UI"/>
                <w:color w:val="5F706E"/>
                <w:sz w:val="19"/>
                <w:szCs w:val="19"/>
              </w:rPr>
              <w:t xml:space="preserve">建议跟进</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25</w:t>
            </w:r>
          </w:p>
          <w:p>
            <w:pPr>
              <w:spacing w:after="0" w:before="0" w:line="340"/>
              <w:jc w:val="center"/>
            </w:pPr>
            <w:r>
              <w:rPr>
                <w:rFonts w:ascii="Microsoft YaHei UI" w:cs="Microsoft YaHei UI" w:eastAsia="Microsoft YaHei UI" w:hAnsi="Microsoft YaHei UI"/>
                <w:color w:val="5F706E"/>
                <w:sz w:val="19"/>
                <w:szCs w:val="19"/>
              </w:rPr>
              <w:t xml:space="preserve">高证据</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8</w:t>
            </w:r>
          </w:p>
          <w:p>
            <w:pPr>
              <w:spacing w:after="0" w:before="0" w:line="340"/>
              <w:jc w:val="center"/>
            </w:pPr>
            <w:r>
              <w:rPr>
                <w:rFonts w:ascii="Microsoft YaHei UI" w:cs="Microsoft YaHei UI" w:eastAsia="Microsoft YaHei UI" w:hAnsi="Microsoft YaHei UI"/>
                <w:color w:val="5F706E"/>
                <w:sz w:val="19"/>
                <w:szCs w:val="19"/>
              </w:rPr>
              <w:t xml:space="preserve">KOL记录</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7</w:t>
            </w:r>
          </w:p>
          <w:p>
            <w:pPr>
              <w:spacing w:after="0" w:before="0" w:line="340"/>
              <w:jc w:val="center"/>
            </w:pPr>
            <w:r>
              <w:rPr>
                <w:rFonts w:ascii="Microsoft YaHei UI" w:cs="Microsoft YaHei UI" w:eastAsia="Microsoft YaHei UI" w:hAnsi="Microsoft YaHei UI"/>
                <w:color w:val="5F706E"/>
                <w:sz w:val="19"/>
                <w:szCs w:val="19"/>
              </w:rPr>
              <w:t xml:space="preserve">涉及专家</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管理层摘要</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750"/>
        <w:gridCol w:w="8250"/>
      </w:tblGrid>
      <w:tr>
        <w:tc>
          <w:tcPr>
            <w:tcW w:type="dxa" w:w="1750"/>
            <w:shd w:fill="DDF1EC"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一句话结论</w:t>
            </w:r>
          </w:p>
        </w:tc>
        <w:tc>
          <w:tcPr>
            <w:tcW w:type="dxa" w:w="8250"/>
            <w:shd w:fill="F2FAF8"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2026年7月西乐葆最值得注意的是：镇痛竞争同时向围术期多模式镇痛、非阿片新机制和胃肠/心血管安全性推进。</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发生了什么</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本月纳入 137 条有效产品/竞品进展，其中 71 条建议跟进、25 条为高证据。优先记录包括《布洛芬相关 ClinicalTrials.gov 临床研究更新（NCT07732751）》、《双氯芬酸钠相关 ClinicalTrials.gov 临床研究更新（NCT07696104）》。</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为什么关注</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新型镇痛机制与经典 NSAID 的安全性比较会直接影响西乐葆在慢性疼痛和围术期场景中的选择理由。</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建议动作</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优先核对关节炎和围术期研究的疗效终点；持续监测 GI、CV 和肾脏安全性；对比 Journavx 等非阿片新机制的适应症和证据成熟度。</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本月重点更新</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450"/>
        <w:gridCol w:w="5400"/>
        <w:gridCol w:w="3150"/>
      </w:tblGrid>
      <w:tr>
        <w:trPr>
          <w:tblHeader/>
        </w:trPr>
        <w:tc>
          <w:tcPr>
            <w:tcW w:type="dxa" w:w="145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日期 / 来源</w:t>
            </w:r>
          </w:p>
        </w:tc>
        <w:tc>
          <w:tcPr>
            <w:tcW w:type="dxa" w:w="540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研究或事件</w:t>
            </w:r>
          </w:p>
        </w:tc>
        <w:tc>
          <w:tcPr>
            <w:tcW w:type="dxa" w:w="315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判断与动作</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2026-07-29</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布洛芬相关 ClinicalTrials.gov 临床研究更新（NCT07732751）</w:t>
            </w:r>
          </w:p>
          <w:p>
            <w:pPr>
              <w:spacing w:after="0" w:before="0" w:line="320"/>
            </w:pPr>
            <w:r>
              <w:rPr>
                <w:rFonts w:ascii="Microsoft YaHei UI" w:cs="Microsoft YaHei UI" w:eastAsia="Microsoft YaHei UI" w:hAnsi="Microsoft YaHei UI"/>
                <w:color w:val="5F706E"/>
                <w:sz w:val="20"/>
                <w:szCs w:val="20"/>
              </w:rPr>
              <w:t xml:space="preserve">ClinicalTrials.gov 研究：A 型肉毒杆菌毒素与口服布洛芬治疗磨牙症的比较；NCT：NCT07732751；状态：已完成；阶段：4期；适应症/疾病：磨牙症；肌筋膜疼痛；首次发布：2026-07-29；最近更新：2026-07-29。</w:t>
            </w:r>
          </w:p>
          <w:p>
            <w:pPr>
              <w:spacing w:after="0" w:before="80"/>
            </w:pPr>
            <w:hyperlink w:history="1" r:id="rId3kly5wnhij02trs4awtx4">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NSAID 竞品；布洛芬</w:t>
            </w:r>
          </w:p>
          <w:p>
            <w:pPr>
              <w:spacing w:after="0" w:before="0" w:line="320"/>
            </w:pPr>
            <w:r>
              <w:rPr>
                <w:rFonts w:ascii="Microsoft YaHei UI" w:cs="Microsoft YaHei UI" w:eastAsia="Microsoft YaHei UI" w:hAnsi="Microsoft YaHei UI"/>
                <w:color w:val="152625"/>
                <w:sz w:val="20"/>
                <w:szCs w:val="20"/>
              </w:rPr>
              <w:t xml:space="preserve">OTC/处方镇痛替代；建议查看研究设计、入排标准和终点，判断对西乐葆或同机制竞品监测的影响。</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2026-07-10</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双氯芬酸钠相关 ClinicalTrials.gov 临床研究更新（NCT07696104）</w:t>
            </w:r>
          </w:p>
          <w:p>
            <w:pPr>
              <w:spacing w:after="0" w:before="0" w:line="320"/>
            </w:pPr>
            <w:r>
              <w:rPr>
                <w:rFonts w:ascii="Microsoft YaHei UI" w:cs="Microsoft YaHei UI" w:eastAsia="Microsoft YaHei UI" w:hAnsi="Microsoft YaHei UI"/>
                <w:color w:val="5F706E"/>
                <w:sz w:val="20"/>
                <w:szCs w:val="20"/>
              </w:rPr>
              <w:t xml:space="preserve">ClinicalTrials.gov 研究：非甾体抗炎药预防白内障超声乳化术后黄斑囊样水肿的疗效；NCT：NCT07696104；状态：已完成；阶段：4期；适应症/疾病：假性晶状体囊样黄斑水肿；首次发布：2026-07-10；最近更新：2026-07-10。</w:t>
            </w:r>
          </w:p>
          <w:p>
            <w:pPr>
              <w:spacing w:after="0" w:before="80"/>
            </w:pPr>
            <w:hyperlink w:history="1" r:id="rIdstx6c9mgkpe1smgxgtk5x">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NSAID 竞品；扶他林</w:t>
            </w:r>
          </w:p>
          <w:p>
            <w:pPr>
              <w:spacing w:after="0" w:before="0" w:line="320"/>
            </w:pPr>
            <w:r>
              <w:rPr>
                <w:rFonts w:ascii="Microsoft YaHei UI" w:cs="Microsoft YaHei UI" w:eastAsia="Microsoft YaHei UI" w:hAnsi="Microsoft YaHei UI"/>
                <w:color w:val="152625"/>
                <w:sz w:val="20"/>
                <w:szCs w:val="20"/>
              </w:rPr>
              <w:t xml:space="preserve">镇痛抗炎替代；建议查看研究设计、入排标准和终点，判断对西乐葆或同机制竞品监测的影响。</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2026-07-07</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布洛芬相关 ClinicalTrials.gov 临床研究更新（NCT07687394）</w:t>
            </w:r>
          </w:p>
          <w:p>
            <w:pPr>
              <w:spacing w:after="0" w:before="0" w:line="320"/>
            </w:pPr>
            <w:r>
              <w:rPr>
                <w:rFonts w:ascii="Microsoft YaHei UI" w:cs="Microsoft YaHei UI" w:eastAsia="Microsoft YaHei UI" w:hAnsi="Microsoft YaHei UI"/>
                <w:color w:val="5F706E"/>
                <w:sz w:val="20"/>
                <w:szCs w:val="20"/>
              </w:rPr>
              <w:t xml:space="preserve">ClinicalTrials.gov 研究：Maxigesic® 与根治性胃切除术后标准镇痛的 IV 期随机试验；NCT：NCT07687394；状态：尚未招募；阶段：4期；适应症/疾病：胃肿瘤；疼痛；术后；首次发布：2026-07-07；最近更新：2026-07-07。</w:t>
            </w:r>
          </w:p>
          <w:p>
            <w:pPr>
              <w:spacing w:after="0" w:before="80"/>
            </w:pPr>
            <w:hyperlink w:history="1" r:id="rIdy68cqtwqplybziibsck0h">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NSAID 竞品；布洛芬</w:t>
            </w:r>
          </w:p>
          <w:p>
            <w:pPr>
              <w:spacing w:after="0" w:before="0" w:line="320"/>
            </w:pPr>
            <w:r>
              <w:rPr>
                <w:rFonts w:ascii="Microsoft YaHei UI" w:cs="Microsoft YaHei UI" w:eastAsia="Microsoft YaHei UI" w:hAnsi="Microsoft YaHei UI"/>
                <w:color w:val="152625"/>
                <w:sz w:val="20"/>
                <w:szCs w:val="20"/>
              </w:rPr>
              <w:t xml:space="preserve">OTC/处方镇痛替代；建议查看研究设计、入排标准和终点，判断对西乐葆或同机制竞品监测的影响。</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2026-07-31</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苏泽曲吉相关 ClinicalTrials.gov 临床研究更新（NCT07355166）</w:t>
            </w:r>
          </w:p>
          <w:p>
            <w:pPr>
              <w:spacing w:after="0" w:before="0" w:line="320"/>
            </w:pPr>
            <w:r>
              <w:rPr>
                <w:rFonts w:ascii="Microsoft YaHei UI" w:cs="Microsoft YaHei UI" w:eastAsia="Microsoft YaHei UI" w:hAnsi="Microsoft YaHei UI"/>
                <w:color w:val="5F706E"/>
                <w:sz w:val="20"/>
                <w:szCs w:val="20"/>
              </w:rPr>
              <w:t xml:space="preserve">ClinicalTrials.gov 研究：Suzetrigine 与常规阿片类药物治疗运动后疼痛的比较；NCT：NCT07355166；状态：尚未招募；阶段：4期；适应症/疾病：术后疼痛管理；首次发布：2026-01-21；最近更新：2026-07-31。</w:t>
            </w:r>
          </w:p>
          <w:p>
            <w:pPr>
              <w:spacing w:after="0" w:before="80"/>
            </w:pPr>
            <w:hyperlink w:history="1" r:id="rIdnnl70tngo8bvypr0_naqe">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潜在竞品；Journavx</w:t>
            </w:r>
          </w:p>
          <w:p>
            <w:pPr>
              <w:spacing w:after="0" w:before="0" w:line="320"/>
            </w:pPr>
            <w:r>
              <w:rPr>
                <w:rFonts w:ascii="Microsoft YaHei UI" w:cs="Microsoft YaHei UI" w:eastAsia="Microsoft YaHei UI" w:hAnsi="Microsoft YaHei UI"/>
                <w:color w:val="152625"/>
                <w:sz w:val="20"/>
                <w:szCs w:val="20"/>
              </w:rPr>
              <w:t xml:space="preserve">非阿片急性疼痛新机制；建议查看研究设计、入排标准和终点，判断对西乐葆或同机制竞品监测的影响。</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2026-07-30</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苏泽曲吉相关 ClinicalTrials.gov 临床研究更新（NCT07226700）</w:t>
            </w:r>
          </w:p>
          <w:p>
            <w:pPr>
              <w:spacing w:after="0" w:before="0" w:line="320"/>
            </w:pPr>
            <w:r>
              <w:rPr>
                <w:rFonts w:ascii="Microsoft YaHei UI" w:cs="Microsoft YaHei UI" w:eastAsia="Microsoft YaHei UI" w:hAnsi="Microsoft YaHei UI"/>
                <w:color w:val="5F706E"/>
                <w:sz w:val="20"/>
                <w:szCs w:val="20"/>
              </w:rPr>
              <w:t xml:space="preserve">ClinicalTrials.gov 研究：Suzetrigine 在全髋关节置换术中的应用；NCT：NCT07226700；状态：招募中；阶段：3期；适应症/疾病：全髋关节置换术 (THA)；全髋关节置换术 \(THA\)；全髋关节置换术；全髋关节置换手术；全髋关节置换术；全髋关节置换术；Suzetrigine；疼痛管理；疼痛；Nav 1.8；JOUR不适用VX；阿片类药物戒断；阿片类药物消耗，术后；多模式镇痛；随机对照试验；随机对照研究；随机对照试验；首次发布：2025-11-10；最近更新：2026-07-30。</w:t>
            </w:r>
          </w:p>
          <w:p>
            <w:pPr>
              <w:spacing w:after="0" w:before="80"/>
            </w:pPr>
            <w:hyperlink w:history="1" r:id="rIdbgebhxhg3pi_hgz_nkn1c">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潜在竞品；Journavx</w:t>
            </w:r>
          </w:p>
          <w:p>
            <w:pPr>
              <w:spacing w:after="0" w:before="0" w:line="320"/>
            </w:pPr>
            <w:r>
              <w:rPr>
                <w:rFonts w:ascii="Microsoft YaHei UI" w:cs="Microsoft YaHei UI" w:eastAsia="Microsoft YaHei UI" w:hAnsi="Microsoft YaHei UI"/>
                <w:color w:val="152625"/>
                <w:sz w:val="20"/>
                <w:szCs w:val="20"/>
              </w:rPr>
              <w:t xml:space="preserve">非阿片急性疼痛新机制；建议查看研究设计、入排标准和终点，判断对西乐葆或同机制竞品监测的影响。</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2026-07-28</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苏泽曲吉相关 ClinicalTrials.gov 临床研究更新（NCT07525219）</w:t>
            </w:r>
          </w:p>
          <w:p>
            <w:pPr>
              <w:spacing w:after="0" w:before="0" w:line="320"/>
            </w:pPr>
            <w:r>
              <w:rPr>
                <w:rFonts w:ascii="Microsoft YaHei UI" w:cs="Microsoft YaHei UI" w:eastAsia="Microsoft YaHei UI" w:hAnsi="Microsoft YaHei UI"/>
                <w:color w:val="5F706E"/>
                <w:sz w:val="20"/>
                <w:szCs w:val="20"/>
              </w:rPr>
              <w:t xml:space="preserve">ClinicalTrials.gov 研究：Suzetrigine 框架试验比较 Suzetrigine 和对乙酰氨基酚；NCT：NCT07525219；状态：招募中；阶段：3期；适应症/疾病：镇痛功效；首次发布：2026-04-13；最近更新：2026-07-28。</w:t>
            </w:r>
          </w:p>
          <w:p>
            <w:pPr>
              <w:spacing w:after="0" w:before="80"/>
            </w:pPr>
            <w:hyperlink w:history="1" r:id="rId8flj-esuscwtutzvrxqd2">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潜在竞品；Journavx</w:t>
            </w:r>
          </w:p>
          <w:p>
            <w:pPr>
              <w:spacing w:after="0" w:before="0" w:line="320"/>
            </w:pPr>
            <w:r>
              <w:rPr>
                <w:rFonts w:ascii="Microsoft YaHei UI" w:cs="Microsoft YaHei UI" w:eastAsia="Microsoft YaHei UI" w:hAnsi="Microsoft YaHei UI"/>
                <w:color w:val="152625"/>
                <w:sz w:val="20"/>
                <w:szCs w:val="20"/>
              </w:rPr>
              <w:t xml:space="preserve">非阿片急性疼痛新机制；建议查看研究设计、入排标准和终点，判断对西乐葆或同机制竞品监测的影响。</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2026-07-23</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9A5D15"/>
                <w:sz w:val="18"/>
                <w:szCs w:val="18"/>
              </w:rPr>
              <w:t xml:space="preserve">中证据 / 建议跟进</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对乙酰氨基酚相关 ClinicalTrials.gov 临床研究更新（NCT07721571）</w:t>
            </w:r>
          </w:p>
          <w:p>
            <w:pPr>
              <w:spacing w:after="0" w:before="0" w:line="320"/>
            </w:pPr>
            <w:r>
              <w:rPr>
                <w:rFonts w:ascii="Microsoft YaHei UI" w:cs="Microsoft YaHei UI" w:eastAsia="Microsoft YaHei UI" w:hAnsi="Microsoft YaHei UI"/>
                <w:color w:val="5F706E"/>
                <w:sz w:val="20"/>
                <w:szCs w:val="20"/>
              </w:rPr>
              <w:t xml:space="preserve">ClinicalTrials.gov 研究：PCNL 后肾造口道浸润控制疼痛；NCT：NCT07721571；状态：招募中；阶段：不适用；适应症/疾病：术后疼痛；肾结石；首次发布：2026-07-23；最近更新：2026-07-23。</w:t>
            </w:r>
          </w:p>
          <w:p>
            <w:pPr>
              <w:spacing w:after="0" w:before="80"/>
            </w:pPr>
            <w:hyperlink w:history="1" r:id="rIdjdpzxhvzuxoz35c40uywn">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非 NSAID 竞品；泰诺/必理通</w:t>
            </w:r>
          </w:p>
          <w:p>
            <w:pPr>
              <w:spacing w:after="0" w:before="0" w:line="320"/>
            </w:pPr>
            <w:r>
              <w:rPr>
                <w:rFonts w:ascii="Microsoft YaHei UI" w:cs="Microsoft YaHei UI" w:eastAsia="Microsoft YaHei UI" w:hAnsi="Microsoft YaHei UI"/>
                <w:color w:val="152625"/>
                <w:sz w:val="20"/>
                <w:szCs w:val="20"/>
              </w:rPr>
              <w:t xml:space="preserve">疼痛一线替代；建议查看研究设计、入排标准和终点，判断对西乐葆或同机制竞品监测的影响。</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2026-07-23</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9A5D15"/>
                <w:sz w:val="18"/>
                <w:szCs w:val="18"/>
              </w:rPr>
              <w:t xml:space="preserve">中证据 / 建议跟进</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苏泽曲吉相关 ClinicalTrials.gov 临床研究更新（NCT07723352）</w:t>
            </w:r>
          </w:p>
          <w:p>
            <w:pPr>
              <w:spacing w:after="0" w:before="0" w:line="320"/>
            </w:pPr>
            <w:r>
              <w:rPr>
                <w:rFonts w:ascii="Microsoft YaHei UI" w:cs="Microsoft YaHei UI" w:eastAsia="Microsoft YaHei UI" w:hAnsi="Microsoft YaHei UI"/>
                <w:color w:val="5F706E"/>
                <w:sz w:val="20"/>
                <w:szCs w:val="20"/>
              </w:rPr>
              <w:t xml:space="preserve">ClinicalTrials.gov 研究：Journavx 治疗拇指基底关节置换术后疼痛；NCT：NCT07723352；状态：仅限受邀入组；阶段：不适用；适应症/疾病：拇指基底关节骨关节炎；术后疼痛；关节置换手术；关节置换；首次发布：2026-07-23；最近更新：2026-07-23。</w:t>
            </w:r>
          </w:p>
          <w:p>
            <w:pPr>
              <w:spacing w:after="0" w:before="80"/>
            </w:pPr>
            <w:hyperlink w:history="1" r:id="rIdhdnesqgug0boopspg1ber">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潜在竞品；Journavx</w:t>
            </w:r>
          </w:p>
          <w:p>
            <w:pPr>
              <w:spacing w:after="0" w:before="0" w:line="320"/>
            </w:pPr>
            <w:r>
              <w:rPr>
                <w:rFonts w:ascii="Microsoft YaHei UI" w:cs="Microsoft YaHei UI" w:eastAsia="Microsoft YaHei UI" w:hAnsi="Microsoft YaHei UI"/>
                <w:color w:val="152625"/>
                <w:sz w:val="20"/>
                <w:szCs w:val="20"/>
              </w:rPr>
              <w:t xml:space="preserve">非阿片急性疼痛新机制；建议查看研究设计、入排标准和终点，判断对西乐葆或同机制竞品监测的影响。</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KOL / 专家动态</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450"/>
        <w:gridCol w:w="8550"/>
      </w:tblGrid>
      <w:tr>
        <w:trPr>
          <w:cantSplit/>
        </w:trPr>
        <w:tc>
          <w:tcPr>
            <w:tcW w:type="dxa" w:w="1450"/>
            <w:shd w:fill="FFFFFF"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2026-07-31</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FFFFF"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蒋青｜南京鼓楼医院</w:t>
            </w:r>
          </w:p>
          <w:p>
            <w:pPr>
              <w:spacing w:after="70" w:before="0" w:line="340"/>
            </w:pPr>
            <w:r>
              <w:rPr>
                <w:rFonts w:ascii="Microsoft YaHei UI" w:cs="Microsoft YaHei UI" w:eastAsia="Microsoft YaHei UI" w:hAnsi="Microsoft YaHei UI"/>
                <w:b/>
                <w:bCs/>
                <w:color w:val="152625"/>
                <w:sz w:val="22"/>
                <w:szCs w:val="22"/>
              </w:rPr>
              <w:t xml:space="preserve">双模式抗氧化剂和表观遗传协同作用可减弱骨关节炎的自我延续衰老周期。</w:t>
            </w:r>
          </w:p>
          <w:p>
            <w:pPr>
              <w:spacing w:after="0" w:before="0" w:line="320"/>
            </w:pPr>
            <w:r>
              <w:rPr>
                <w:rFonts w:ascii="Microsoft YaHei UI" w:cs="Microsoft YaHei UI" w:eastAsia="Microsoft YaHei UI" w:hAnsi="Microsoft YaHei UI"/>
                <w:color w:val="5F706E"/>
                <w:sz w:val="20"/>
                <w:szCs w:val="20"/>
              </w:rPr>
              <w:t xml:space="preserve">研究主题：双模式抗氧化剂和表观遗传协同作用可减弱骨关节炎的自我延续衰老周期。。摘要要点：骨关节炎 (OA) 是由相互交织的氧化应激和异常 m6A 甲基化驱动的软骨细胞衰老引起的，很少有针对这两种病理途径的治疗方法。番茄红素是一种抗氧化剂，但其生物利用度较差，而其核心 m6A 甲基转移酶 Wilms 肿瘤 1 相关蛋白 (WTAP) 则没有特异性抑制剂。在此，我们通过人血清白蛋白（HSA）和聚-L-赖氨酸（PLL）与胶原蛋白II结合肽的静电自组装，共同负载番茄红素和WTAP siRNA，制备了软骨靶向HPcLW纳米粒子（~250 nm）。靶向修饰将关节内注射后关节荧光保留延长至10天，具有良好的血清稳定性和生物安全性。在老年小鼠和内侧半月板 (DMM) 诱导的 OA 小鼠模型中，关节内 HPcLW 减轻了软骨退化，恢复了 COL2 表达，并抑制了 MMP13 水平。从机制上讲，WTAP siRNA 抑制 m6A 修饰以下调 PAI-1 表达，而番茄红素清除 ROS 并保护 siRNA 完整性，共同破坏 WTAP/PAI-1 轴并减轻线粒体功能障碍。通过整合抗氧化和表观遗传策略，HPcLW 抵消了衰老循环，将 WTAP/PAI-1 轴建立为治疗靶点，并强调共同递送纳米药物治疗与年龄相关的关节疾病。</w:t>
            </w:r>
          </w:p>
          <w:p>
            <w:pPr>
              <w:spacing w:after="0" w:before="80"/>
            </w:pPr>
            <w:hyperlink w:history="1" r:id="rIddpdat2yoh1odb6uknsypw">
              <w:r>
                <w:rPr>
                  <w:rFonts w:ascii="Microsoft YaHei UI" w:cs="Microsoft YaHei UI" w:eastAsia="Microsoft YaHei UI" w:hAnsi="Microsoft YaHei UI"/>
                  <w:color w:val="1B6CA8"/>
                  <w:sz w:val="18"/>
                  <w:szCs w:val="18"/>
                  <w:u w:val="single"/>
                </w:rPr>
                <w:t xml:space="preserve">打开原始来源</w:t>
              </w:r>
            </w:hyperlink>
          </w:p>
        </w:tc>
      </w:tr>
      <w:tr>
        <w:trPr>
          <w:cantSplit/>
        </w:trPr>
        <w:tc>
          <w:tcPr>
            <w:tcW w:type="dxa" w:w="1450"/>
            <w:shd w:fill="F5F8F7"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2026-07-24</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5F8F7"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田华｜北京大学第三医院</w:t>
            </w:r>
          </w:p>
          <w:p>
            <w:pPr>
              <w:spacing w:after="70" w:before="0" w:line="340"/>
            </w:pPr>
            <w:r>
              <w:rPr>
                <w:rFonts w:ascii="Microsoft YaHei UI" w:cs="Microsoft YaHei UI" w:eastAsia="Microsoft YaHei UI" w:hAnsi="Microsoft YaHei UI"/>
                <w:b/>
                <w:bCs/>
                <w:color w:val="152625"/>
                <w:sz w:val="22"/>
                <w:szCs w:val="22"/>
              </w:rPr>
              <w:t xml:space="preserve">在雌激素缺乏诱发的骨关节炎中，成骨细胞衍生的 CTGF 通过 EGFR/NF-κB 信号通路导致有害的骨软骨串扰。</w:t>
            </w:r>
          </w:p>
          <w:p>
            <w:pPr>
              <w:spacing w:after="0" w:before="0" w:line="320"/>
            </w:pPr>
            <w:r>
              <w:rPr>
                <w:rFonts w:ascii="Microsoft YaHei UI" w:cs="Microsoft YaHei UI" w:eastAsia="Microsoft YaHei UI" w:hAnsi="Microsoft YaHei UI"/>
                <w:color w:val="5F706E"/>
                <w:sz w:val="20"/>
                <w:szCs w:val="20"/>
              </w:rPr>
              <w:t xml:space="preserve">研究主题：在雌激素缺乏诱发的骨关节炎中，成骨细胞衍生的 CTGF 通过 EGFR/NF-κB 信号通路导致有害的骨软骨串扰。。摘要要点：简介：骨关节炎（OA）是一种常见的退行性关节疾病，绝经后妇女受到的影响尤为严重。软骨下骨重塑的早期病理改变越来越被认为是关节软骨退变的关键前兆。然而，雌激素缺乏导致这种有害的骨与软骨相互作用的确切机制仍然知之甚少。目的：本研究旨在阐明成骨细胞衍生的结缔组织生长因子（CTGF）在雌激素缺乏条件下介导骨与软骨串扰中的作用，并描绘潜在的分子信号传导途径。方法：为了模拟绝经后状况，我们通过双侧卵巢切除术（OVX-OA）建立了雌激素缺乏的 OA 模型。利用综合生物信息策略来筛选成骨细胞-软骨细胞相互作用的潜在蛋白质贡献者，并确定候选上游转录因子。通过番红 O 染色和 qRT-PCR 评估软骨退变。通过免疫组织化学 (IHC)、qRT-PCR 和蛋白质印迹法对 ​​CTGF、EGFR、NF-κB 和软骨基质标记物的表达进行定量。采用免疫沉淀-质谱 (IP-MS) 来表征已识别介质的分子相互作用组。结果：我们确定 CTGF 是 OVX 成骨细胞诱导的软骨细胞功能障碍的关键因素。OVX 成骨细胞中的 CTGF 敲低逆转了成骨细胞对软骨细胞的有害影响。研究发现 CTGF 与 EGFR 形成复合物，激活 EGFR/NF-κB 通路并促进 OA 的发展。使用 CTGF 中和抗体治疗可中和过度的 CTGF 活性，显着减弱软骨下骨重塑并减轻软骨退化。</w:t>
            </w:r>
          </w:p>
          <w:p>
            <w:pPr>
              <w:spacing w:after="0" w:before="80"/>
            </w:pPr>
            <w:hyperlink w:history="1" r:id="rId74-q2tprorycywqobpso1">
              <w:r>
                <w:rPr>
                  <w:rFonts w:ascii="Microsoft YaHei UI" w:cs="Microsoft YaHei UI" w:eastAsia="Microsoft YaHei UI" w:hAnsi="Microsoft YaHei UI"/>
                  <w:color w:val="1B6CA8"/>
                  <w:sz w:val="18"/>
                  <w:szCs w:val="18"/>
                  <w:u w:val="single"/>
                </w:rPr>
                <w:t xml:space="preserve">打开原始来源</w:t>
              </w:r>
            </w:hyperlink>
          </w:p>
        </w:tc>
      </w:tr>
      <w:tr>
        <w:trPr>
          <w:cantSplit/>
        </w:trPr>
        <w:tc>
          <w:tcPr>
            <w:tcW w:type="dxa" w:w="1450"/>
            <w:shd w:fill="FFFFFF"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2026-07-21</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FFFFF"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雷光华｜中南大学湘雅医院</w:t>
            </w:r>
          </w:p>
          <w:p>
            <w:pPr>
              <w:spacing w:after="70" w:before="0" w:line="340"/>
            </w:pPr>
            <w:r>
              <w:rPr>
                <w:rFonts w:ascii="Microsoft YaHei UI" w:cs="Microsoft YaHei UI" w:eastAsia="Microsoft YaHei UI" w:hAnsi="Microsoft YaHei UI"/>
                <w:b/>
                <w:bCs/>
                <w:color w:val="152625"/>
                <w:sz w:val="22"/>
                <w:szCs w:val="22"/>
              </w:rPr>
              <w:t xml:space="preserve">手部骨关节炎的口腔微生物群失调和口腔肠道微生物网络破坏：来自湘雅骨关节炎研究的数据。</w:t>
            </w:r>
          </w:p>
          <w:p>
            <w:pPr>
              <w:spacing w:after="0" w:before="0" w:line="320"/>
            </w:pPr>
            <w:r>
              <w:rPr>
                <w:rFonts w:ascii="Microsoft YaHei UI" w:cs="Microsoft YaHei UI" w:eastAsia="Microsoft YaHei UI" w:hAnsi="Microsoft YaHei UI"/>
                <w:color w:val="5F706E"/>
                <w:sz w:val="20"/>
                <w:szCs w:val="20"/>
              </w:rPr>
              <w:t xml:space="preserve">研究主题：手部骨关节炎的口腔微生物群失调和口腔肠道微生物网络破坏：来自湘雅骨关节炎研究的数据。。摘要要点：目的：口腔微生物组在调节全身炎症中发挥着关键作用，部分是通过其与肠道微生物组的相互作用来实现的。尽管肠道微生物群失调与症状性手部骨关节炎 (SHOA) 有关，但口腔微生物群失调在 SHOA 中的作用及其与肠道微生物群失调的关系仍不清楚。阐明这些关联可以为 SHOA 发病机制提供新的见解。方法：参与者是从湘雅骨关节炎（XO）研究中招募的，这是一项正在进行的基于社区的观察性研究。使用 16S 核糖体 RNA 基因测序分析唾液样本。对 SHOA 参与者和未参加 SHOA 的对照组的口腔微生物丰富度、组成和特定分类群的相对丰度进行了比较。还评估并比较了各组之间口腔肠道微生物组网络内的相关性。结果：与对照组 (n=712) 相比，SHOA 参与者 (n=52) 表现出显着较低的口腔微生物丰富度 (p=0.007) 和成分改变 (p=0.007)。SHOA 参与者中毛球菌属的相对丰度显着较高（β=0.437（95% CI 0.174 至 0.699），p=0.001，Q=0.073），并且与 SHOA 严重程度呈正相关。此外，与对照组相比，SHOA 参与者口腔肠道微生物组网络内显着相关的数量显着减少。值得注意的是，口腔微生物组中毛球菌的丰度与肠道微生物酪氨酸代谢的 KEGG 途径呈正相关（r=0.137，p=0.001，Q=0.047），两者均与 SHOA 相关。</w:t>
            </w:r>
          </w:p>
          <w:p>
            <w:pPr>
              <w:spacing w:after="0" w:before="80"/>
            </w:pPr>
            <w:hyperlink w:history="1" r:id="rIdakc_zqva7fenpa0emea2z">
              <w:r>
                <w:rPr>
                  <w:rFonts w:ascii="Microsoft YaHei UI" w:cs="Microsoft YaHei UI" w:eastAsia="Microsoft YaHei UI" w:hAnsi="Microsoft YaHei UI"/>
                  <w:color w:val="1B6CA8"/>
                  <w:sz w:val="18"/>
                  <w:szCs w:val="18"/>
                  <w:u w:val="single"/>
                </w:rPr>
                <w:t xml:space="preserve">打开原始来源</w:t>
              </w:r>
            </w:hyperlink>
          </w:p>
        </w:tc>
      </w:tr>
      <w:tr>
        <w:trPr>
          <w:cantSplit/>
        </w:trPr>
        <w:tc>
          <w:tcPr>
            <w:tcW w:type="dxa" w:w="1450"/>
            <w:shd w:fill="F5F8F7"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2026-07-20</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5F8F7"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曹永平｜北京大学第一医院</w:t>
            </w:r>
          </w:p>
          <w:p>
            <w:pPr>
              <w:spacing w:after="70" w:before="0" w:line="340"/>
            </w:pPr>
            <w:r>
              <w:rPr>
                <w:rFonts w:ascii="Microsoft YaHei UI" w:cs="Microsoft YaHei UI" w:eastAsia="Microsoft YaHei UI" w:hAnsi="Microsoft YaHei UI"/>
                <w:b/>
                <w:bCs/>
                <w:color w:val="152625"/>
                <w:sz w:val="22"/>
                <w:szCs w:val="22"/>
              </w:rPr>
              <w:t xml:space="preserve">双酚 A 通过靶向 RHOB 来促进非酒精性脂肪肝和骨关节炎的合并症：综合多组学、单细胞分析和实验验证。</w:t>
            </w:r>
          </w:p>
          <w:p>
            <w:pPr>
              <w:spacing w:after="0" w:before="0" w:line="320"/>
            </w:pPr>
            <w:r>
              <w:rPr>
                <w:rFonts w:ascii="Microsoft YaHei UI" w:cs="Microsoft YaHei UI" w:eastAsia="Microsoft YaHei UI" w:hAnsi="Microsoft YaHei UI"/>
                <w:color w:val="5F706E"/>
                <w:sz w:val="20"/>
                <w:szCs w:val="20"/>
              </w:rPr>
              <w:t xml:space="preserve">研究主题：双酚 A 通过靶向 RHOB 来促进非酒精性脂肪肝和骨关节炎的合并症：综合多组学、单细胞分析和实验验证。。摘要要点：背景：本研究重点探讨双酚 A (BPA) 诱发非酒精性脂肪肝 (NAFLD) 和骨关节炎 (OA) 的共病机制。方法：本研究利用 SwissTargetPrediction 数据库确定了潜在的 BPA 目标。这些靶标与 NAFLD 和 OA 相关基因进行整合，并通过加权基因共表达网络分析和差异基因表达分析进行筛选。为了阐明潜在的生物学机制，进行了功能富集和免疫浸润分析。通过机器学习查明与合并症相关的核心基因。通过分子对接、分子动力学模拟和单细胞转录组学进一步验证了相互作用和细胞定位。最后，通过体外实验验证对软骨细胞功能和肝脏脂质代谢的影响。结果：功能富集分析表明，BPA 诱导的 NAFLD 和 OA 合并症途径在肌肉细胞增殖、DNA 代谢和炎症途径中富集。 RHOB已被确定为核心基因，通过调节Hippo和IL-17等信号通路参与疾病进展。单细胞测序显示，NAFLD 中 RHOB 主要表达于肝细胞和胆管细胞，而 OA 中则在 HomC 和 EC 细胞簇中富集。体外实验证实，BPA 暴露会抑制 RHOB 表达，从而促进肝细胞中脂质积累并损害软骨细胞功能。同时，救援实验表明，其过度表达可显着逆转这些病理状态。结论：BPA 暴露通过抑制 RHOB 导致 OA 和 NAFLD 的共病。 因此，限制 BPA 暴露或调节 RHOB 通路是干预相关疾病的可行方法。</w:t>
            </w:r>
          </w:p>
          <w:p>
            <w:pPr>
              <w:spacing w:after="0" w:before="80"/>
            </w:pPr>
            <w:hyperlink w:history="1" r:id="rIdbc94j3axclq3fcmm_ossv">
              <w:r>
                <w:rPr>
                  <w:rFonts w:ascii="Microsoft YaHei UI" w:cs="Microsoft YaHei UI" w:eastAsia="Microsoft YaHei UI" w:hAnsi="Microsoft YaHei UI"/>
                  <w:color w:val="1B6CA8"/>
                  <w:sz w:val="18"/>
                  <w:szCs w:val="18"/>
                  <w:u w:val="single"/>
                </w:rPr>
                <w:t xml:space="preserve">打开原始来源</w:t>
              </w:r>
            </w:hyperlink>
          </w:p>
        </w:tc>
      </w:tr>
      <w:tr>
        <w:trPr>
          <w:cantSplit/>
        </w:trPr>
        <w:tc>
          <w:tcPr>
            <w:tcW w:type="dxa" w:w="1450"/>
            <w:shd w:fill="FFFFFF"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2026-07-17</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FFFFF"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张卓莉｜北京大学第一医院</w:t>
            </w:r>
          </w:p>
          <w:p>
            <w:pPr>
              <w:spacing w:after="70" w:before="0" w:line="340"/>
            </w:pPr>
            <w:r>
              <w:rPr>
                <w:rFonts w:ascii="Microsoft YaHei UI" w:cs="Microsoft YaHei UI" w:eastAsia="Microsoft YaHei UI" w:hAnsi="Microsoft YaHei UI"/>
                <w:b/>
                <w:bCs/>
                <w:color w:val="152625"/>
                <w:sz w:val="22"/>
                <w:szCs w:val="22"/>
              </w:rPr>
              <w:t xml:space="preserve">皮下注射甲氨蝶呤与口服甲氨蝶呤治疗类风湿性关节炎的比较：系统评价和荟萃分析。</w:t>
            </w:r>
          </w:p>
          <w:p>
            <w:pPr>
              <w:spacing w:after="0" w:before="0" w:line="320"/>
            </w:pPr>
            <w:r>
              <w:rPr>
                <w:rFonts w:ascii="Microsoft YaHei UI" w:cs="Microsoft YaHei UI" w:eastAsia="Microsoft YaHei UI" w:hAnsi="Microsoft YaHei UI"/>
                <w:color w:val="5F706E"/>
                <w:sz w:val="20"/>
                <w:szCs w:val="20"/>
              </w:rPr>
              <w:t xml:space="preserve">研究主题：皮下注射甲氨蝶呤与口服甲氨蝶呤治疗类风湿性关节炎的比较：系统评价和荟萃分析。。摘要要点：目的：整合比较皮下注射 (SC) 和口服甲氨蝶呤 (MTX) 治疗类风湿性关节炎 (RA) 的随机对照试验 (RCT) 的证据，以提供最佳的临床治疗策略。方法：本荟萃分析对 PubMed、Web of Science、Embase 和 Cochrane Library 进行全面检索，检索截至 2025 年 6 月 18 日发表的所有相关 RCT。利用随机效应模型计算相对风险（RR）、平均差（MD）及其 95% 置信区间（CI），评估皮下注射与口服 MTX 的有效性和安全性。结果：共检索到1 034篇文章，最终纳入符合标准的RCT 9篇，共涉及RA患者974例。在主要随机效应分析中，与口服 MTX 相比，皮下注射 MTX 提高了 ACR20 缓解率（RR = 1.15；95%CI：1.05, 1.25），提高了 ACR50 缓解率（RR = 1.14；95%CI：1.01, 1.29），并降低了胃肠道 (GI) 相关不良事件 (AE) 的发生率 (RR = 0.58；95%CI：0.40，0.83）和腹泻（RR = 0.42；95%CI：0.21，0.84）。固定效应敏感性分析支持 ACR20 和 GI 相关的安全性发现，但 ACR50 结果被减弱。</w:t>
            </w:r>
          </w:p>
          <w:p>
            <w:pPr>
              <w:spacing w:after="0" w:before="80"/>
            </w:pPr>
            <w:hyperlink w:history="1" r:id="rIdzi97tgpwi1h-i4itr5y7v">
              <w:r>
                <w:rPr>
                  <w:rFonts w:ascii="Microsoft YaHei UI" w:cs="Microsoft YaHei UI" w:eastAsia="Microsoft YaHei UI" w:hAnsi="Microsoft YaHei UI"/>
                  <w:color w:val="1B6CA8"/>
                  <w:sz w:val="18"/>
                  <w:szCs w:val="18"/>
                  <w:u w:val="single"/>
                </w:rPr>
                <w:t xml:space="preserve">打开原始来源</w:t>
              </w:r>
            </w:hyperlink>
          </w:p>
        </w:tc>
      </w:tr>
      <w:tr>
        <w:trPr>
          <w:cantSplit/>
        </w:trPr>
        <w:tc>
          <w:tcPr>
            <w:tcW w:type="dxa" w:w="1450"/>
            <w:shd w:fill="F5F8F7"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2026-07-09</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5F8F7"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雷光华｜中南大学湘雅医院</w:t>
            </w:r>
          </w:p>
          <w:p>
            <w:pPr>
              <w:spacing w:after="70" w:before="0" w:line="340"/>
            </w:pPr>
            <w:r>
              <w:rPr>
                <w:rFonts w:ascii="Microsoft YaHei UI" w:cs="Microsoft YaHei UI" w:eastAsia="Microsoft YaHei UI" w:hAnsi="Microsoft YaHei UI"/>
                <w:b/>
                <w:bCs/>
                <w:color w:val="152625"/>
                <w:sz w:val="22"/>
                <w:szCs w:val="22"/>
              </w:rPr>
              <w:t xml:space="preserve">作者更正：关节炎关节中巨噬细胞和破骨细胞的靶向凋亡可有效对抗晚期炎症性关节炎。</w:t>
            </w:r>
          </w:p>
          <w:p>
            <w:pPr>
              <w:spacing w:after="0" w:before="0" w:line="320"/>
            </w:pPr>
            <w:r>
              <w:rPr>
                <w:rFonts w:ascii="Microsoft YaHei UI" w:cs="Microsoft YaHei UI" w:eastAsia="Microsoft YaHei UI" w:hAnsi="Microsoft YaHei UI"/>
                <w:color w:val="5F706E"/>
                <w:sz w:val="20"/>
                <w:szCs w:val="20"/>
              </w:rPr>
              <w:t xml:space="preserve">研究主题：作者更正：关节炎关节中巨噬细胞和破骨细胞的靶向凋亡可有效对抗晚期炎症性关节炎。。</w:t>
            </w:r>
          </w:p>
          <w:p>
            <w:pPr>
              <w:spacing w:after="0" w:before="80"/>
            </w:pPr>
            <w:hyperlink w:history="1" r:id="rId9ndwnlfbw4jdmhfiscnge">
              <w:r>
                <w:rPr>
                  <w:rFonts w:ascii="Microsoft YaHei UI" w:cs="Microsoft YaHei UI" w:eastAsia="Microsoft YaHei UI" w:hAnsi="Microsoft YaHei UI"/>
                  <w:color w:val="1B6CA8"/>
                  <w:sz w:val="18"/>
                  <w:szCs w:val="18"/>
                  <w:u w:val="single"/>
                </w:rPr>
                <w:t xml:space="preserve">打开原始来源</w:t>
              </w:r>
            </w:hyperlink>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涉及分子 / 靶点</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双氯芬酸钠 / diclofenac sodium / C14H10Cl2NNaO2（27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对乙酰氨基酚 / acetaminophen / C8H9NO2（27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布洛芬 / ibuprofen / C13H18O2（26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塞来昔布 / celecoxib / C17H14F3N3O2S（22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苏泽曲吉 / suzetrigine / C21H20F5N3O4（18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美洛昔康 / meloxicam / C14H13N3O4S2（8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萘普生钠 / naproxen sodium / C14H13NaO3（6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依托考昔 / etoricoxib / C18H15ClN2O2S（2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依托度酸 / etodolac / C17H21NO3（1 条）</w:t>
      </w:r>
    </w:p>
    <w:p>
      <w:pPr>
        <w:pStyle w:val="Heading1"/>
        <w:keepNext/>
        <w:spacing w:after="160" w:before="300" w:line="340"/>
      </w:pPr>
      <w:r>
        <w:rPr>
          <w:rFonts w:ascii="Microsoft YaHei UI" w:cs="Microsoft YaHei UI" w:eastAsia="Microsoft YaHei UI" w:hAnsi="Microsoft YaHei UI"/>
          <w:color w:val="152625"/>
          <w:sz w:val="22"/>
          <w:szCs w:val="22"/>
        </w:rPr>
        <w:t xml:space="preserve">建议跟进</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优先核对关节炎和围术期研究的疗效终点</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持续监测 GI、CV 和肾脏安全性</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对比 Journavx 等非阿片新机制的适应症和证据成熟度</w:t>
      </w:r>
    </w:p>
    <w:sectPr>
      <w:headerReference w:type="default" r:id="rId7"/>
      <w:footerReference w:type="default" r:id="rId8"/>
      <w:pgSz w:w="11906" w:h="16838" w:orient="portrait"/>
      <w:pgMar w:top="1150" w:right="950" w:bottom="105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UI" w:cs="Microsoft YaHei UI" w:eastAsia="Microsoft YaHei UI" w:hAnsi="Microsoft YaHei UI"/>
        <w:color w:val="5F706E"/>
        <w:sz w:val="17"/>
        <w:szCs w:val="17"/>
      </w:rPr>
      <w:t xml:space="preserve">内部工作材料 ·</w:t>
    </w:r>
    <w:r>
      <w:rPr>
        <w:rFonts w:ascii="Microsoft YaHei UI" w:cs="Microsoft YaHei UI" w:eastAsia="Microsoft YaHei UI" w:hAnsi="Microsoft YaHei UI"/>
        <w:color w:val="5F706E"/>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40"/>
      <w:jc w:val="right"/>
    </w:pPr>
    <w:r>
      <w:rPr>
        <w:rFonts w:ascii="Microsoft YaHei UI" w:cs="Microsoft YaHei UI" w:eastAsia="Microsoft YaHei UI" w:hAnsi="Microsoft YaHei UI"/>
        <w:color w:val="5F706E"/>
        <w:sz w:val="17"/>
        <w:szCs w:val="17"/>
      </w:rPr>
      <w:t xml:space="preserve">西乐葆 | 2026年7月产品情报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UI" w:cs="Microsoft YaHei UI" w:eastAsia="Microsoft YaHei UI" w:hAnsi="Microsoft YaHei UI"/>
        <w:color w:val="152625"/>
        <w:sz w:val="22"/>
        <w:szCs w:val="22"/>
      </w:rPr>
    </w:rPrDefault>
    <w:pPrDefault>
      <w:pPr>
        <w:spacing w:after="120"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00"/>
    </w:pPr>
    <w:rPr>
      <w:rFonts w:ascii="Microsoft YaHei UI" w:cs="Microsoft YaHei UI" w:eastAsia="Microsoft YaHei UI" w:hAnsi="Microsoft YaHei UI"/>
      <w:b/>
      <w:bCs/>
      <w:color w:val="0B5C55"/>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3kly5wnhij02trs4awtx4" Type="http://schemas.openxmlformats.org/officeDocument/2006/relationships/hyperlink" Target="https://clinicaltrials.gov/study/NCT07732751" TargetMode="External"/><Relationship Id="rIdstx6c9mgkpe1smgxgtk5x" Type="http://schemas.openxmlformats.org/officeDocument/2006/relationships/hyperlink" Target="https://clinicaltrials.gov/study/NCT07696104" TargetMode="External"/><Relationship Id="rIdy68cqtwqplybziibsck0h" Type="http://schemas.openxmlformats.org/officeDocument/2006/relationships/hyperlink" Target="https://clinicaltrials.gov/study/NCT07687394" TargetMode="External"/><Relationship Id="rIdnnl70tngo8bvypr0_naqe" Type="http://schemas.openxmlformats.org/officeDocument/2006/relationships/hyperlink" Target="https://clinicaltrials.gov/study/NCT07355166" TargetMode="External"/><Relationship Id="rIdbgebhxhg3pi_hgz_nkn1c" Type="http://schemas.openxmlformats.org/officeDocument/2006/relationships/hyperlink" Target="https://clinicaltrials.gov/study/NCT07226700" TargetMode="External"/><Relationship Id="rId8flj-esuscwtutzvrxqd2" Type="http://schemas.openxmlformats.org/officeDocument/2006/relationships/hyperlink" Target="https://clinicaltrials.gov/study/NCT07525219" TargetMode="External"/><Relationship Id="rIdjdpzxhvzuxoz35c40uywn" Type="http://schemas.openxmlformats.org/officeDocument/2006/relationships/hyperlink" Target="https://clinicaltrials.gov/study/NCT07721571" TargetMode="External"/><Relationship Id="rIdhdnesqgug0boopspg1ber" Type="http://schemas.openxmlformats.org/officeDocument/2006/relationships/hyperlink" Target="https://clinicaltrials.gov/study/NCT07723352" TargetMode="External"/><Relationship Id="rIddpdat2yoh1odb6uknsypw" Type="http://schemas.openxmlformats.org/officeDocument/2006/relationships/hyperlink" Target="https://pubmed.ncbi.nlm.nih.gov/42571396/" TargetMode="External"/><Relationship Id="rId74-q2tprorycywqobpso1" Type="http://schemas.openxmlformats.org/officeDocument/2006/relationships/hyperlink" Target="https://pubmed.ncbi.nlm.nih.gov/42498003/" TargetMode="External"/><Relationship Id="rIdakc_zqva7fenpa0emea2z" Type="http://schemas.openxmlformats.org/officeDocument/2006/relationships/hyperlink" Target="https://pubmed.ncbi.nlm.nih.gov/42481422/" TargetMode="External"/><Relationship Id="rIdbc94j3axclq3fcmm_ossv" Type="http://schemas.openxmlformats.org/officeDocument/2006/relationships/hyperlink" Target="https://pubmed.ncbi.nlm.nih.gov/42476233/" TargetMode="External"/><Relationship Id="rIdzi97tgpwi1h-i4itr5y7v" Type="http://schemas.openxmlformats.org/officeDocument/2006/relationships/hyperlink" Target="https://pubmed.ncbi.nlm.nih.gov/42539638/" TargetMode="External"/><Relationship Id="rId9ndwnlfbw4jdmhfiscnge" Type="http://schemas.openxmlformats.org/officeDocument/2006/relationships/hyperlink" Target="https://pubmed.ncbi.nlm.nih.gov/42425998/"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2026年7月西乐葆关注报告</dc:title>
  <dc:creator>Codex</dc:creator>
  <cp:lastModifiedBy>Un-named</cp:lastModifiedBy>
  <cp:revision>1</cp:revision>
  <dcterms:created xsi:type="dcterms:W3CDTF">2026-08-10T06:03:21.118Z</dcterms:created>
  <dcterms:modified xsi:type="dcterms:W3CDTF">2026-08-10T06:03:21.118Z</dcterms:modified>
</cp:coreProperties>
</file>

<file path=docProps/custom.xml><?xml version="1.0" encoding="utf-8"?>
<Properties xmlns="http://schemas.openxmlformats.org/officeDocument/2006/custom-properties" xmlns:vt="http://schemas.openxmlformats.org/officeDocument/2006/docPropsVTypes"/>
</file>