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line="340"/>
      </w:pPr>
      <w:r>
        <w:rPr>
          <w:rFonts w:ascii="Microsoft YaHei UI" w:cs="Microsoft YaHei UI" w:eastAsia="Microsoft YaHei UI" w:hAnsi="Microsoft YaHei UI"/>
          <w:b/>
          <w:bCs/>
          <w:color w:val="147D73"/>
          <w:sz w:val="20"/>
          <w:szCs w:val="20"/>
        </w:rPr>
        <w:t xml:space="preserve">MONTHLY PRODUCT INTELLIGENCE</w:t>
      </w:r>
    </w:p>
    <w:p>
      <w:pPr>
        <w:spacing w:after="120" w:before="0" w:line="340"/>
      </w:pPr>
      <w:r>
        <w:rPr>
          <w:rFonts w:ascii="Microsoft YaHei UI" w:cs="Microsoft YaHei UI" w:eastAsia="Microsoft YaHei UI" w:hAnsi="Microsoft YaHei UI"/>
          <w:b/>
          <w:bCs/>
          <w:color w:val="0B5C55"/>
          <w:sz w:val="40"/>
          <w:szCs w:val="40"/>
        </w:rPr>
        <w:t xml:space="preserve">迪敏思｜2026年7月关注报告</w:t>
      </w:r>
    </w:p>
    <w:p>
      <w:pPr>
        <w:spacing w:after="360" w:before="0" w:line="340"/>
      </w:pPr>
      <w:r>
        <w:rPr>
          <w:rFonts w:ascii="Microsoft YaHei UI" w:cs="Microsoft YaHei UI" w:eastAsia="Microsoft YaHei UI" w:hAnsi="Microsoft YaHei UI"/>
          <w:color w:val="5F706E"/>
          <w:sz w:val="22"/>
          <w:szCs w:val="22"/>
        </w:rPr>
        <w:t xml:space="preserve">2026-07-01 至 2026-07-31</w:t>
      </w:r>
    </w:p>
    <w:tbl>
      <w:tblPr>
        <w:tblW w:type="dxa" w:w="10000"/>
        <w:tblBorders>
          <w:top w:val="none"/>
          <w:left w:val="none"/>
          <w:bottom w:val="none"/>
          <w:right w:val="none"/>
          <w:insideH w:val="none"/>
          <w:insideV w:val="single" w:color="FFFFFF" w:sz="8"/>
        </w:tblBorders>
      </w:tblPr>
      <w:tblGrid>
        <w:gridCol w:w="2000"/>
        <w:gridCol w:w="2000"/>
        <w:gridCol w:w="2000"/>
        <w:gridCol w:w="2000"/>
        <w:gridCol w:w="2000"/>
      </w:tblGrid>
      <w:tr>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117</w:t>
            </w:r>
          </w:p>
          <w:p>
            <w:pPr>
              <w:spacing w:after="0" w:before="0" w:line="340"/>
              <w:jc w:val="center"/>
            </w:pPr>
            <w:r>
              <w:rPr>
                <w:rFonts w:ascii="Microsoft YaHei UI" w:cs="Microsoft YaHei UI" w:eastAsia="Microsoft YaHei UI" w:hAnsi="Microsoft YaHei UI"/>
                <w:color w:val="5F706E"/>
                <w:sz w:val="19"/>
                <w:szCs w:val="19"/>
              </w:rPr>
              <w:t xml:space="preserve">有效进展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61</w:t>
            </w:r>
          </w:p>
          <w:p>
            <w:pPr>
              <w:spacing w:after="0" w:before="0" w:line="340"/>
              <w:jc w:val="center"/>
            </w:pPr>
            <w:r>
              <w:rPr>
                <w:rFonts w:ascii="Microsoft YaHei UI" w:cs="Microsoft YaHei UI" w:eastAsia="Microsoft YaHei UI" w:hAnsi="Microsoft YaHei UI"/>
                <w:color w:val="5F706E"/>
                <w:sz w:val="19"/>
                <w:szCs w:val="19"/>
              </w:rPr>
              <w:t xml:space="preserve">建议跟进</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26</w:t>
            </w:r>
          </w:p>
          <w:p>
            <w:pPr>
              <w:spacing w:after="0" w:before="0" w:line="340"/>
              <w:jc w:val="center"/>
            </w:pPr>
            <w:r>
              <w:rPr>
                <w:rFonts w:ascii="Microsoft YaHei UI" w:cs="Microsoft YaHei UI" w:eastAsia="Microsoft YaHei UI" w:hAnsi="Microsoft YaHei UI"/>
                <w:color w:val="5F706E"/>
                <w:sz w:val="19"/>
                <w:szCs w:val="19"/>
              </w:rPr>
              <w:t xml:space="preserve">高证据</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6</w:t>
            </w:r>
          </w:p>
          <w:p>
            <w:pPr>
              <w:spacing w:after="0" w:before="0" w:line="340"/>
              <w:jc w:val="center"/>
            </w:pPr>
            <w:r>
              <w:rPr>
                <w:rFonts w:ascii="Microsoft YaHei UI" w:cs="Microsoft YaHei UI" w:eastAsia="Microsoft YaHei UI" w:hAnsi="Microsoft YaHei UI"/>
                <w:color w:val="5F706E"/>
                <w:sz w:val="19"/>
                <w:szCs w:val="19"/>
              </w:rPr>
              <w:t xml:space="preserve">KOL记录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3</w:t>
            </w:r>
          </w:p>
          <w:p>
            <w:pPr>
              <w:spacing w:after="0" w:before="0" w:line="340"/>
              <w:jc w:val="center"/>
            </w:pPr>
            <w:r>
              <w:rPr>
                <w:rFonts w:ascii="Microsoft YaHei UI" w:cs="Microsoft YaHei UI" w:eastAsia="Microsoft YaHei UI" w:hAnsi="Microsoft YaHei UI"/>
                <w:color w:val="5F706E"/>
                <w:sz w:val="19"/>
                <w:szCs w:val="19"/>
              </w:rPr>
              <w:t xml:space="preserve">涉及专家</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管理层摘要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750"/>
        <w:gridCol w:w="8250"/>
      </w:tblGrid>
      <w:tr>
        <w:tc>
          <w:tcPr>
            <w:tcW w:type="dxa" w:w="1750"/>
            <w:shd w:fill="DDF1EC"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一句话结论</w:t>
            </w:r>
          </w:p>
        </w:tc>
        <w:tc>
          <w:tcPr>
            <w:tcW w:type="dxa" w:w="8250"/>
            <w:shd w:fill="F2FAF8"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2026年7月迪敏思最值得注意的是：过敏性鼻炎管理同时出现鼻喷同类优化与生物制剂向重症上气道疾病延伸。</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发生了什么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本月纳入 117 条有效产品/竞品进展，其中 61 条建议跟进、26 条为高证据。优先记录包括《盐酸氮卓斯汀+丙酸氟替卡松相关 ClinicalTrials.gov 临床研究更新（NCT07664527）》、《盐酸氮卓斯汀+丙酸氟替卡松相关 ClinicalTrials.gov 临床研究更新（NCT05776927）》。</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为什么关注</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鼻喷方案决定常规中重度患者的起始控制，而生物制剂会重塑伴哮喘、鼻息肉或难治患者的升级路径。</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建议动作</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区分 AR、CRSwNP 和哮喘人群，不混用适应症；跟踪鼻喷复方的起效、症状控制和依从性；建立重症患者向生物制剂升级的证据地图。</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本月重点更新</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5400"/>
        <w:gridCol w:w="3150"/>
      </w:tblGrid>
      <w:tr>
        <w:trPr>
          <w:tblHeader/>
        </w:trPr>
        <w:tc>
          <w:tcPr>
            <w:tcW w:type="dxa" w:w="14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日期 / 来源</w:t>
            </w:r>
          </w:p>
        </w:tc>
        <w:tc>
          <w:tcPr>
            <w:tcW w:type="dxa" w:w="540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研究或事件</w:t>
            </w:r>
          </w:p>
        </w:tc>
        <w:tc>
          <w:tcPr>
            <w:tcW w:type="dxa" w:w="31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判断与动作</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2026-07-29</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盐酸氮卓斯汀+丙酸氟替卡松相关 ClinicalTrials.gov 临床研究更新（NCT07664527）</w:t>
            </w:r>
          </w:p>
          <w:p>
            <w:pPr>
              <w:spacing w:after="0" w:before="0" w:line="320"/>
            </w:pPr>
            <w:r>
              <w:rPr>
                <w:rFonts w:ascii="Microsoft YaHei UI" w:cs="Microsoft YaHei UI" w:eastAsia="Microsoft YaHei UI" w:hAnsi="Microsoft YaHei UI"/>
                <w:color w:val="5F706E"/>
                <w:sz w:val="20"/>
                <w:szCs w:val="20"/>
              </w:rPr>
              <w:t xml:space="preserve">ClinicalTrials.gov 研究：去除口服吸入的丙酸氟替卡松的新方法；NCT：NCT07664527；状态：尚未招募；阶段：4期；适应症/疾病：Asthma；首次发布：2026-06-24；最近更新：2026-07-29。</w:t>
            </w:r>
          </w:p>
          <w:p>
            <w:pPr>
              <w:spacing w:after="0" w:before="80"/>
            </w:pPr>
            <w:hyperlink w:history="1" r:id="rIdtcrsjhkfwehtnttgyggcn">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本品/同成分；迪敏思/Dymista</w:t>
            </w:r>
          </w:p>
          <w:p>
            <w:pPr>
              <w:spacing w:after="0" w:before="0" w:line="320"/>
            </w:pPr>
            <w:r>
              <w:rPr>
                <w:rFonts w:ascii="Microsoft YaHei UI" w:cs="Microsoft YaHei UI" w:eastAsia="Microsoft YaHei UI" w:hAnsi="Microsoft YaHei UI"/>
                <w:color w:val="152625"/>
                <w:sz w:val="20"/>
                <w:szCs w:val="20"/>
              </w:rPr>
              <w:t xml:space="preserve">同成分复方与局部抗炎抗过敏竞争；建议查看研究设计、入排标准和终点，判断对迪敏思或同机制竞品监测的影响。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2026-07-27</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盐酸氮卓斯汀+丙酸氟替卡松相关 ClinicalTrials.gov 临床研究更新（NCT05776927）</w:t>
            </w:r>
          </w:p>
          <w:p>
            <w:pPr>
              <w:spacing w:after="0" w:before="0" w:line="320"/>
            </w:pPr>
            <w:r>
              <w:rPr>
                <w:rFonts w:ascii="Microsoft YaHei UI" w:cs="Microsoft YaHei UI" w:eastAsia="Microsoft YaHei UI" w:hAnsi="Microsoft YaHei UI"/>
                <w:color w:val="5F706E"/>
                <w:sz w:val="20"/>
                <w:szCs w:val="20"/>
              </w:rPr>
              <w:t xml:space="preserve">ClinicalTrials.gov 研究：一项评估 QVM149（醋酸茚达特罗 / 格隆溴铵 / 糠酸莫米松）与沙美特罗昔萘酸 / 丙酸氟替卡松对 12 岁至 18 岁以下哮喘儿童的疗效和安全性的研究。；NCT：NCT05776927；状态：尚未招募；阶段：3期；适应症/疾病：Asthma；首次发布：2023-03-20；最近更新：2026-07-27。</w:t>
            </w:r>
          </w:p>
          <w:p>
            <w:pPr>
              <w:spacing w:after="0" w:before="80"/>
            </w:pPr>
            <w:hyperlink w:history="1" r:id="rIdn6dz2izs0qxypvyarecz4">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本品/同成分；迪敏思/Dymista</w:t>
            </w:r>
          </w:p>
          <w:p>
            <w:pPr>
              <w:spacing w:after="0" w:before="0" w:line="320"/>
            </w:pPr>
            <w:r>
              <w:rPr>
                <w:rFonts w:ascii="Microsoft YaHei UI" w:cs="Microsoft YaHei UI" w:eastAsia="Microsoft YaHei UI" w:hAnsi="Microsoft YaHei UI"/>
                <w:color w:val="152625"/>
                <w:sz w:val="20"/>
                <w:szCs w:val="20"/>
              </w:rPr>
              <w:t xml:space="preserve">同成分复方与局部抗炎抗过敏竞争；建议查看研究设计、入排标准和终点，判断对迪敏思或同机制竞品监测的影响。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2026-07-24</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盐酸氮卓斯汀+丙酸氟替卡松相关 ClinicalTrials.gov 临床研究更新（NCT06052267）</w:t>
            </w:r>
          </w:p>
          <w:p>
            <w:pPr>
              <w:spacing w:after="0" w:before="0" w:line="320"/>
            </w:pPr>
            <w:r>
              <w:rPr>
                <w:rFonts w:ascii="Microsoft YaHei UI" w:cs="Microsoft YaHei UI" w:eastAsia="Microsoft YaHei UI" w:hAnsi="Microsoft YaHei UI"/>
                <w:color w:val="5F706E"/>
                <w:sz w:val="20"/>
                <w:szCs w:val="20"/>
              </w:rPr>
              <w:t xml:space="preserve">ClinicalTrials.gov 研究：一项测试丙酸氟替卡松/硫酸沙丁胺醇固定剂量组合是否能有效预防哮喘恶化的研究；NCT：NCT06052267；状态：活跃，已停止招募；阶段：3期；适应症/疾病：Asthma；首次发布：2023-09-25；最近更新：2026-07-24。</w:t>
            </w:r>
          </w:p>
          <w:p>
            <w:pPr>
              <w:spacing w:after="0" w:before="80"/>
            </w:pPr>
            <w:hyperlink w:history="1" r:id="rIdp9x391zlos8ngqv3itb42">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本品/同成分；迪敏思/Dymista</w:t>
            </w:r>
          </w:p>
          <w:p>
            <w:pPr>
              <w:spacing w:after="0" w:before="0" w:line="320"/>
            </w:pPr>
            <w:r>
              <w:rPr>
                <w:rFonts w:ascii="Microsoft YaHei UI" w:cs="Microsoft YaHei UI" w:eastAsia="Microsoft YaHei UI" w:hAnsi="Microsoft YaHei UI"/>
                <w:color w:val="152625"/>
                <w:sz w:val="20"/>
                <w:szCs w:val="20"/>
              </w:rPr>
              <w:t xml:space="preserve">同成分复方与局部抗炎抗过敏竞争；建议查看研究设计、入排标准和终点，判断对迪敏思或同机制竞品监测的影响。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2026-07-23</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地氯雷他定相关 ClinicalTrials.gov 临床研究更新（NCT06916884）</w:t>
            </w:r>
          </w:p>
          <w:p>
            <w:pPr>
              <w:spacing w:after="0" w:before="0" w:line="320"/>
            </w:pPr>
            <w:r>
              <w:rPr>
                <w:rFonts w:ascii="Microsoft YaHei UI" w:cs="Microsoft YaHei UI" w:eastAsia="Microsoft YaHei UI" w:hAnsi="Microsoft YaHei UI"/>
                <w:color w:val="5F706E"/>
                <w:sz w:val="20"/>
                <w:szCs w:val="20"/>
              </w:rPr>
              <w:t xml:space="preserve">ClinicalTrials.gov 研究：地氯雷他定/倍他米松固定剂量组合与地氯雷他定的有效性和安全性验证研究；NCT：NCT06916884；状态：已完成；阶段：3期；适应症/疾病：过敏性鼻炎；首次发布：2025-04-08；最近更新：2026-07-23。</w:t>
            </w:r>
          </w:p>
          <w:p>
            <w:pPr>
              <w:spacing w:after="0" w:before="80"/>
            </w:pPr>
            <w:hyperlink w:history="1" r:id="rIdg__q4nbkygfuooyetsmke">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口服竞品；Aerius</w:t>
            </w:r>
          </w:p>
          <w:p>
            <w:pPr>
              <w:spacing w:after="0" w:before="0" w:line="320"/>
            </w:pPr>
            <w:r>
              <w:rPr>
                <w:rFonts w:ascii="Microsoft YaHei UI" w:cs="Microsoft YaHei UI" w:eastAsia="Microsoft YaHei UI" w:hAnsi="Microsoft YaHei UI"/>
                <w:color w:val="152625"/>
                <w:sz w:val="20"/>
                <w:szCs w:val="20"/>
              </w:rPr>
              <w:t xml:space="preserve">过敏性鼻炎口服替代；建议查看研究设计、入排标准和终点，判断对迪敏思或同机制竞品监测的影响。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2026-07-22</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糠酸莫米松相关 ClinicalTrials.gov 临床研究更新（NCT03085797）</w:t>
            </w:r>
          </w:p>
          <w:p>
            <w:pPr>
              <w:spacing w:after="0" w:before="0" w:line="320"/>
            </w:pPr>
            <w:r>
              <w:rPr>
                <w:rFonts w:ascii="Microsoft YaHei UI" w:cs="Microsoft YaHei UI" w:eastAsia="Microsoft YaHei UI" w:hAnsi="Microsoft YaHei UI"/>
                <w:color w:val="5F706E"/>
                <w:sz w:val="20"/>
                <w:szCs w:val="20"/>
              </w:rPr>
              <w:t xml:space="preserve">ClinicalTrials.gov 研究：美泊利单抗治疗严重双侧鼻息肉的效果；NCT：NCT03085797；状态：已完成；阶段：3期；适应症/疾病：Nasal Polyps；首次发布：2017-03-21；最近更新：2026-07-22。</w:t>
            </w:r>
          </w:p>
          <w:p>
            <w:pPr>
              <w:spacing w:after="0" w:before="80"/>
            </w:pPr>
            <w:hyperlink w:history="1" r:id="rIdcp-0qdrtpamda6eg35okf">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同类竞品；Nasonex</w:t>
            </w:r>
          </w:p>
          <w:p>
            <w:pPr>
              <w:spacing w:after="0" w:before="0" w:line="320"/>
            </w:pPr>
            <w:r>
              <w:rPr>
                <w:rFonts w:ascii="Microsoft YaHei UI" w:cs="Microsoft YaHei UI" w:eastAsia="Microsoft YaHei UI" w:hAnsi="Microsoft YaHei UI"/>
                <w:color w:val="152625"/>
                <w:sz w:val="20"/>
                <w:szCs w:val="20"/>
              </w:rPr>
              <w:t xml:space="preserve">鼻炎局部激素替代；建议查看研究设计、入排标准和终点，判断对迪敏思或同机制竞品监测的影响。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2026-07-20</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倍氯米松二丙酸酯相关 ClinicalTrials.gov 临床研究更新（NCT05292586）</w:t>
            </w:r>
          </w:p>
          <w:p>
            <w:pPr>
              <w:spacing w:after="0" w:before="0" w:line="320"/>
            </w:pPr>
            <w:r>
              <w:rPr>
                <w:rFonts w:ascii="Microsoft YaHei UI" w:cs="Microsoft YaHei UI" w:eastAsia="Microsoft YaHei UI" w:hAnsi="Microsoft YaHei UI"/>
                <w:color w:val="5F706E"/>
                <w:sz w:val="20"/>
                <w:szCs w:val="20"/>
              </w:rPr>
              <w:t xml:space="preserve">ClinicalTrials.gov 研究：一项研究测试 CHF 1535 pMDI 800/24μg 每日总剂量与 CHF 718 pMDI 800μg 每日总剂量相比，治疗哮喘成人中剂量或高剂量吸入皮质类固醇的优越性；NCT：NCT05292586；状态：已完成；阶段：3期；适应症/疾病：Asthma；首次发布：2022-03-23；最近更新：2026-07-20。</w:t>
            </w:r>
          </w:p>
          <w:p>
            <w:pPr>
              <w:spacing w:after="0" w:before="80"/>
            </w:pPr>
            <w:hyperlink w:history="1" r:id="rIdcbwidhfphzsz-tl0tqyhl">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同类竞品；Beconase/Qnasl</w:t>
            </w:r>
          </w:p>
          <w:p>
            <w:pPr>
              <w:spacing w:after="0" w:before="0" w:line="320"/>
            </w:pPr>
            <w:r>
              <w:rPr>
                <w:rFonts w:ascii="Microsoft YaHei UI" w:cs="Microsoft YaHei UI" w:eastAsia="Microsoft YaHei UI" w:hAnsi="Microsoft YaHei UI"/>
                <w:color w:val="152625"/>
                <w:sz w:val="20"/>
                <w:szCs w:val="20"/>
              </w:rPr>
              <w:t xml:space="preserve">鼻炎局部激素替代；建议查看研究设计、入排标准和终点，判断对迪敏思或同机制竞品监测的影响。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2026-07-16</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度普利尤单抗相关 ClinicalTrials.gov 临床研究更新（NCT03935971）</w:t>
            </w:r>
          </w:p>
          <w:p>
            <w:pPr>
              <w:spacing w:after="0" w:before="0" w:line="320"/>
            </w:pPr>
            <w:r>
              <w:rPr>
                <w:rFonts w:ascii="Microsoft YaHei UI" w:cs="Microsoft YaHei UI" w:eastAsia="Microsoft YaHei UI" w:hAnsi="Microsoft YaHei UI"/>
                <w:color w:val="5F706E"/>
                <w:sz w:val="20"/>
                <w:szCs w:val="20"/>
              </w:rPr>
              <w:t xml:space="preserve">ClinicalTrials.gov 研究：Dupilumab 对过敏性接触性皮炎的作用；NCT：NCT03935971；状态：活跃，已停止招募；阶段：4期；适应症/疾病：过敏性接触性皮炎；首次发布：2019-05-02；最近更新：2026-07-16。</w:t>
            </w:r>
          </w:p>
          <w:p>
            <w:pPr>
              <w:spacing w:after="0" w:before="80"/>
            </w:pPr>
            <w:hyperlink w:history="1" r:id="rIdoq2jilglacng_thzx1oal">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重症/潜在竞品；Dupixent</w:t>
            </w:r>
          </w:p>
          <w:p>
            <w:pPr>
              <w:spacing w:after="0" w:before="0" w:line="320"/>
            </w:pPr>
            <w:r>
              <w:rPr>
                <w:rFonts w:ascii="Microsoft YaHei UI" w:cs="Microsoft YaHei UI" w:eastAsia="Microsoft YaHei UI" w:hAnsi="Microsoft YaHei UI"/>
                <w:color w:val="152625"/>
                <w:sz w:val="20"/>
                <w:szCs w:val="20"/>
              </w:rPr>
              <w:t xml:space="preserve">鼻息肉、过敏炎症相关高阶治疗路径；建议查看研究设计、入排标准和终点，判断对迪敏思或同机制竞品监测的影响。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2026-07-13</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糠酸莫米松相关 ClinicalTrials.gov 临床研究更新（NCT05562466）</w:t>
            </w:r>
          </w:p>
          <w:p>
            <w:pPr>
              <w:spacing w:after="0" w:before="0" w:line="320"/>
            </w:pPr>
            <w:r>
              <w:rPr>
                <w:rFonts w:ascii="Microsoft YaHei UI" w:cs="Microsoft YaHei UI" w:eastAsia="Microsoft YaHei UI" w:hAnsi="Microsoft YaHei UI"/>
                <w:color w:val="5F706E"/>
                <w:sz w:val="20"/>
                <w:szCs w:val="20"/>
              </w:rPr>
              <w:t xml:space="preserve">ClinicalTrials.gov 研究：一项评估 QMF149（醋酸茚达特罗/糠酸莫米松）与布地奈德对 6 岁至 12 岁以下哮喘儿童的疗效和安全性的研究；NCT：NCT05562466；状态：招募中；阶段：3期；适应症/疾病：Asthma；首次发布：2022-09-30；最近更新：2026-07-13。</w:t>
            </w:r>
          </w:p>
          <w:p>
            <w:pPr>
              <w:spacing w:after="0" w:before="80"/>
            </w:pPr>
            <w:hyperlink w:history="1" r:id="rIdyxcbhq3b5vlnr97-o60j6">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同类竞品；Nasonex</w:t>
            </w:r>
          </w:p>
          <w:p>
            <w:pPr>
              <w:spacing w:after="0" w:before="0" w:line="320"/>
            </w:pPr>
            <w:r>
              <w:rPr>
                <w:rFonts w:ascii="Microsoft YaHei UI" w:cs="Microsoft YaHei UI" w:eastAsia="Microsoft YaHei UI" w:hAnsi="Microsoft YaHei UI"/>
                <w:color w:val="152625"/>
                <w:sz w:val="20"/>
                <w:szCs w:val="20"/>
              </w:rPr>
              <w:t xml:space="preserve">鼻炎局部激素替代；建议查看研究设计、入排标准和终点，判断对迪敏思或同机制竞品监测的影响。</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KOL / 专家动态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8550"/>
      </w:tblGrid>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2026-07-29</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王德辉｜复旦大学附属眼耳鼻喉科医院</w:t>
            </w:r>
          </w:p>
          <w:p>
            <w:pPr>
              <w:spacing w:after="70" w:before="0" w:line="340"/>
            </w:pPr>
            <w:r>
              <w:rPr>
                <w:rFonts w:ascii="Microsoft YaHei UI" w:cs="Microsoft YaHei UI" w:eastAsia="Microsoft YaHei UI" w:hAnsi="Microsoft YaHei UI"/>
                <w:b/>
                <w:bCs/>
                <w:color w:val="152625"/>
                <w:sz w:val="22"/>
                <w:szCs w:val="22"/>
              </w:rPr>
              <w:t xml:space="preserve">Tezepelumab 在中国患有鼻息肉的严重慢性鼻窦炎患者中的应用：3 期 WAYPOINT 试验的预先指定亚组分析。</w:t>
            </w:r>
          </w:p>
          <w:p>
            <w:pPr>
              <w:spacing w:after="0" w:before="0" w:line="320"/>
            </w:pPr>
            <w:r>
              <w:rPr>
                <w:rFonts w:ascii="Microsoft YaHei UI" w:cs="Microsoft YaHei UI" w:eastAsia="Microsoft YaHei UI" w:hAnsi="Microsoft YaHei UI"/>
                <w:color w:val="5F706E"/>
                <w:sz w:val="20"/>
                <w:szCs w:val="20"/>
              </w:rPr>
              <w:t xml:space="preserve">研究主题：Tezepelumab 在中国患有鼻息肉的严重慢性鼻窦炎患者中的应用：3 期 WAYPOINT 试验的预先指定亚组分析。。摘要要点：背景：中国患者的慢性鼻窦炎伴鼻息肉 (CRSwNP) 通常表现出混合的 1/2/3 型炎症表型 (63%)，可能会影响针对 2 型炎症的生物制剂的疗效。WAYPOINT (NCT04851964) 的预先指定亚组分析评估了 tezepelumab 在中国 CRSwNP 患者中的疗效和安全性。方法：患有严重 CRSwNP 的成年患者按 1:1 的比例随机接受 tezepelumab（210 mg）或安慰剂治疗，为期 52 周。共同主要终点是第 52 周 (W52) 鼻息肉总评分和每两周平均鼻充血评分相对基线的变化。关键的次要终点包括鼻息肉病症状日记 (NPSD) 嗅觉丧失评分、22 项鼻窦结果测试 (SNOT-22) 总分、Lund-Mackay 评分、NPSD 总症状评分以及首次鼻息肉手术决定和/或全身性糖皮质激素使用的时间相对于基线的变化。结果：29 名患者接受 tezepelumab，34 名患者接受安慰剂。在第 52 周时，tezepelumab 在总鼻息肉评分（与安慰剂相比的最小二乘平均差 [95% CI]：-2.03 [-2.88，-1.19]）和双周平均鼻充血评分（-0.72 [-1.23，-0.21]）方面取得了数值上更大的改善。与安慰剂相比，tezepelumab 还改善了 NPSD 嗅觉丧失评分（-0.44 [-0.</w:t>
            </w:r>
          </w:p>
          <w:p>
            <w:pPr>
              <w:spacing w:after="0" w:before="80"/>
            </w:pPr>
            <w:hyperlink w:history="1" r:id="rIdmyfsmirx6ika7j6na1em8">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2026-07-01</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刘争｜武汉大学中南医院</w:t>
            </w:r>
          </w:p>
          <w:p>
            <w:pPr>
              <w:spacing w:after="70" w:before="0" w:line="340"/>
            </w:pPr>
            <w:r>
              <w:rPr>
                <w:rFonts w:ascii="Microsoft YaHei UI" w:cs="Microsoft YaHei UI" w:eastAsia="Microsoft YaHei UI" w:hAnsi="Microsoft YaHei UI"/>
                <w:b/>
                <w:bCs/>
                <w:color w:val="152625"/>
                <w:sz w:val="22"/>
                <w:szCs w:val="22"/>
              </w:rPr>
              <w:t xml:space="preserve">[限制蛋氨酸对过敏性气道炎症的影响]。</w:t>
            </w:r>
          </w:p>
          <w:p>
            <w:pPr>
              <w:spacing w:after="0" w:before="0" w:line="320"/>
            </w:pPr>
            <w:r>
              <w:rPr>
                <w:rFonts w:ascii="Microsoft YaHei UI" w:cs="Microsoft YaHei UI" w:eastAsia="Microsoft YaHei UI" w:hAnsi="Microsoft YaHei UI"/>
                <w:color w:val="5F706E"/>
                <w:sz w:val="20"/>
                <w:szCs w:val="20"/>
              </w:rPr>
              <w:t xml:space="preserve">研究主题：[限制蛋氨酸对过敏性气道炎症的影响]。。摘要要点：目的：探讨蛋氨酸限制饮食（MRD）对2型炎症性气道疾病的影响及潜在机制，为过敏性疾病的营养干预提供实验依据。方法：采用无特定病原体（SPF）C57BL/6J小鼠建立屋尘螨（HDM）致过敏性鼻炎（AR）和卵清蛋白（OVA）致哮喘模型。小鼠被随机分配到MRD（0.12%蛋氨酸）组或标准对照饮食（CD，0.86%蛋氨酸）组。另一组仅接受 MRD 治疗，以评估其对外周免疫系统的影响。通过组织学（H&amp;E染色）、q-PCR和流式细胞术评估MRD的体内效果。此外，在蛋氨酸限制（MR）下进行体外Th2细胞分化实验。结果：与CD组相比，MRD显着减轻了AR模型中的鼻粘膜炎症，减轻了哮喘模型中的肺部炎症，同时降低了关键2型炎症细胞因子（包括IL-4、IL-5、IL-13等）的水平。单独进行 4 周的 MRD 并没有显着改变外周免疫稳态。体外实验进一步证明MR直接抑制幼稚CD4⁺T细胞向Th2细胞的分化。结论：MRD可以抑制Th2细胞驱动的过敏性气道炎症，同时维持整体免疫稳态，为过敏性疾病提供潜在的营养干预策略。</w:t>
            </w:r>
          </w:p>
          <w:p>
            <w:pPr>
              <w:spacing w:after="0" w:before="80"/>
            </w:pPr>
            <w:hyperlink w:history="1" r:id="rIddodnk7lgjlmjfguns63dr">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2026-07-01</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张罗｜首都医科大学附属北京同仁医院</w:t>
            </w:r>
          </w:p>
          <w:p>
            <w:pPr>
              <w:spacing w:after="70" w:before="0" w:line="340"/>
            </w:pPr>
            <w:r>
              <w:rPr>
                <w:rFonts w:ascii="Microsoft YaHei UI" w:cs="Microsoft YaHei UI" w:eastAsia="Microsoft YaHei UI" w:hAnsi="Microsoft YaHei UI"/>
                <w:b/>
                <w:bCs/>
                <w:color w:val="152625"/>
                <w:sz w:val="22"/>
                <w:szCs w:val="22"/>
              </w:rPr>
              <w:t xml:space="preserve">生物制剂时代过敏性鼻炎的治疗[J].</w:t>
            </w:r>
          </w:p>
          <w:p>
            <w:pPr>
              <w:spacing w:after="0" w:before="0" w:line="320"/>
            </w:pPr>
            <w:r>
              <w:rPr>
                <w:rFonts w:ascii="Microsoft YaHei UI" w:cs="Microsoft YaHei UI" w:eastAsia="Microsoft YaHei UI" w:hAnsi="Microsoft YaHei UI"/>
                <w:color w:val="5F706E"/>
                <w:sz w:val="20"/>
                <w:szCs w:val="20"/>
              </w:rPr>
              <w:t xml:space="preserve">研究主题：生物制剂时代过敏性鼻炎的治疗[J].。摘要要点：目的：过敏性鼻炎（AR）是严重影响人类健康的重大慢性疾病。目前治疗方式的主要目标是缓解症状，但患者往往对长期治疗的依从性较差，疗效结果不佳。自 20 世纪 90 年代以来，针对 2 型炎症反应中关键细胞因子及其受体的单克隆抗体已被用于治疗 AR 等 2 型炎症性疾病。临床研究表明，omalizumab、dupilumab 和 Stapokibart 可有效治疗季节性 AR。 2025年，stapokibart被批准用于治疗成人中重度季节性AR，成为全球首个用于AR治疗的靶向IL-4Rα单克隆抗体。本文系统回顾了生物制剂治疗AR的历史和疗效，以及国内生物制剂的发展，旨在强调其临床应用策略的重要性。</w:t>
            </w:r>
          </w:p>
          <w:p>
            <w:pPr>
              <w:spacing w:after="0" w:before="80"/>
            </w:pPr>
            <w:hyperlink w:history="1" r:id="rId6vkp-hdp9l8cc0pnoejez">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2026-07-01</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张罗｜首都医科大学附属北京同仁医院</w:t>
            </w:r>
          </w:p>
          <w:p>
            <w:pPr>
              <w:spacing w:after="70" w:before="0" w:line="340"/>
            </w:pPr>
            <w:r>
              <w:rPr>
                <w:rFonts w:ascii="Microsoft YaHei UI" w:cs="Microsoft YaHei UI" w:eastAsia="Microsoft YaHei UI" w:hAnsi="Microsoft YaHei UI"/>
                <w:b/>
                <w:bCs/>
                <w:color w:val="152625"/>
                <w:sz w:val="22"/>
                <w:szCs w:val="22"/>
              </w:rPr>
              <w:t xml:space="preserve">[基线临床特征对 Stapokibart 对季节性过敏性鼻炎患者疗效的影响：事后亚组分析]。</w:t>
            </w:r>
          </w:p>
          <w:p>
            <w:pPr>
              <w:spacing w:after="0" w:before="0" w:line="320"/>
            </w:pPr>
            <w:r>
              <w:rPr>
                <w:rFonts w:ascii="Microsoft YaHei UI" w:cs="Microsoft YaHei UI" w:eastAsia="Microsoft YaHei UI" w:hAnsi="Microsoft YaHei UI"/>
                <w:color w:val="5F706E"/>
                <w:sz w:val="20"/>
                <w:szCs w:val="20"/>
              </w:rPr>
              <w:t xml:space="preserve">研究主题：[基线临床特征对 Stapokibart 对季节性过敏性鼻炎患者疗效的影响：事后亚组分析]。。摘要要点：目的：探讨不同基线临床特征对斯塔泊巴特治疗外周血嗜酸性粒细胞计数≥3×10⁸/L的中重度季节性变应性鼻炎（SAR）患者疗效的影响。方法：基于两项随机、双盲、安慰剂对照试验（RCT）的数据，对首次接受600 mg Stapokibart或安慰剂治疗的外周血嗜酸性粒细胞计数≥3×10⁸/L的患者进行事后亚组分析。疗效终点定义为第2周和第4周时平均每日鼻部症状总分（rTNSS）、每日平均眼部症状总分（rTOSS）和鼻结膜炎生活质量问卷（RQLQ）总分较基线的变化。采用协方差分析（ANCOVA）模型计算两组之间的最小二乘均值（LSM）差异和95%置信区间（CIs）。进行交互作用测试，评估各种基线特征（包括人口特征、过敏原致敏状态、基线症状严重程度等）对治疗效果的影响。结果：共纳入133例中重度SAR患者（stapokibart组61例，安慰剂组72例）。与安慰剂组相比，stapokibart组在第2周和第4周的所有临床评分均较基线有显着改善。第2周和第4周平均每日rTNSS变化的LSM差异为-1.3（95%CI -2.0至-0.7； P&lt;0.000 1）和-1.6（95%CI -2.3至-0.8； P&lt;0.000 1），分别。日均rTOSS变化的LSM差异为-0.7（95%CI -1.2至-0.1； P=0.022 0）和-0.7（95%CI -1.3至-0.</w:t>
            </w:r>
          </w:p>
          <w:p>
            <w:pPr>
              <w:spacing w:after="0" w:before="80"/>
            </w:pPr>
            <w:hyperlink w:history="1" r:id="rIdjzj0e7v_cnponzb7ndylz">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2026-07-01</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张罗｜首都医科大学附属北京同仁医院</w:t>
            </w:r>
          </w:p>
          <w:p>
            <w:pPr>
              <w:spacing w:after="70" w:before="0" w:line="340"/>
            </w:pPr>
            <w:r>
              <w:rPr>
                <w:rFonts w:ascii="Microsoft YaHei UI" w:cs="Microsoft YaHei UI" w:eastAsia="Microsoft YaHei UI" w:hAnsi="Microsoft YaHei UI"/>
                <w:b/>
                <w:bCs/>
                <w:color w:val="152625"/>
                <w:sz w:val="22"/>
                <w:szCs w:val="22"/>
              </w:rPr>
              <w:t xml:space="preserve">慢性鼻窦炎伴鼻息肉合并呼吸道上皮腺瘤样错构瘤对生物制剂反应不佳一例[J].</w:t>
            </w:r>
          </w:p>
          <w:p>
            <w:pPr>
              <w:spacing w:after="0" w:before="0" w:line="320"/>
            </w:pPr>
            <w:r>
              <w:rPr>
                <w:rFonts w:ascii="Microsoft YaHei UI" w:cs="Microsoft YaHei UI" w:eastAsia="Microsoft YaHei UI" w:hAnsi="Microsoft YaHei UI"/>
                <w:color w:val="5F706E"/>
                <w:sz w:val="20"/>
                <w:szCs w:val="20"/>
              </w:rPr>
              <w:t xml:space="preserve">研究主题：慢性鼻窦炎伴鼻息肉合并呼吸道上皮腺瘤样错构瘤对生物制剂反应不佳一例[J].。摘要要点：目的：本文报道一例自诉鼻塞、嗅觉丧失20年的男性患者。体检发现双侧嗅裂和中鼻道有息肉样肿块。该患者被诊断为慢性鼻窦炎伴鼻息肉（CRSwNP），对足够疗程的局部鼻内皮质类固醇治疗反应不佳，随后参加了两项使用抗IL4-Rα和抗TSLP单克隆抗体的临床试验。每项试验的治疗持续时间分别为 16 周。他的鼻息肉大小没有变化，这是两项临床试验的主要终点结果。随后患者接受内镜手术，病理为呼吸道上皮腺瘤样错构瘤（REAH），手术标本的单细胞测序结果进一步证实，与正常鼻息肉不同。 REAH的诊断依赖于病理学，术前检查特异性有限，REAH可能与鼻息肉有相似之处。因此，当息肉样肿块患者对生物制剂的充分治疗反应不佳时，应考虑 REAH 进行鉴别诊断。</w:t>
            </w:r>
          </w:p>
          <w:p>
            <w:pPr>
              <w:spacing w:after="0" w:before="80"/>
            </w:pPr>
            <w:hyperlink w:history="1" r:id="rIdpdtwqbkpy8bnzmew0nw8h">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2026-07-01</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张罗｜首都医科大学附属北京同仁医院</w:t>
            </w:r>
          </w:p>
          <w:p>
            <w:pPr>
              <w:spacing w:after="70" w:before="0" w:line="340"/>
            </w:pPr>
            <w:r>
              <w:rPr>
                <w:rFonts w:ascii="Microsoft YaHei UI" w:cs="Microsoft YaHei UI" w:eastAsia="Microsoft YaHei UI" w:hAnsi="Microsoft YaHei UI"/>
                <w:b/>
                <w:bCs/>
                <w:color w:val="152625"/>
                <w:sz w:val="22"/>
                <w:szCs w:val="22"/>
              </w:rPr>
              <w:t xml:space="preserve">桉树油-柠檬烯-蒎烯通过多靶点机制减轻慢性鼻窦炎伴鼻息肉的粘液分泌过多和炎症。</w:t>
            </w:r>
          </w:p>
          <w:p>
            <w:pPr>
              <w:spacing w:after="0" w:before="0" w:line="320"/>
            </w:pPr>
            <w:r>
              <w:rPr>
                <w:rFonts w:ascii="Microsoft YaHei UI" w:cs="Microsoft YaHei UI" w:eastAsia="Microsoft YaHei UI" w:hAnsi="Microsoft YaHei UI"/>
                <w:color w:val="5F706E"/>
                <w:sz w:val="20"/>
                <w:szCs w:val="20"/>
              </w:rPr>
              <w:t xml:space="preserve">研究主题：桉树油-柠檬烯-蒎烯通过多靶点机制减轻慢性鼻窦炎伴鼻息肉的粘液分泌过多和炎症。。摘要要点：目的：慢性鼻窦炎伴鼻息肉（CRSwNP）是一种常见的慢性粘膜炎症性疾病，严重影响患者的生活质量。桉树油-柠檬烯-蒎烯 (ELP) 是一种植物源性粘液活性剂，用于治疗呼吸系统疾病，包括 CRSwNP；然而，其根本机制仍不清楚。本研究旨在评估ELP对CRSwNP的作用并探讨其机制。方法：使用来自 CRSwNP 患者的鼻上皮细胞 (NEC) 和单细胞悬液进行体外验证，并使用米曲霉蛋白酶/卵清蛋白诱导的小鼠 CRSwNP 模型进行体内验证。使用定量实时聚合酶链反应、酶联免疫吸附测定、蛋白质印迹、Luminex、苏木精和伊红染色、阿尔新蓝-高碘酸-希夫染色、免疫荧光和免疫组织化学来量化炎症介质和粘液纤毛的变化。结果：网络药理学显示表皮生长因子受体（EGFR）、缺氧诱导因子1-α、白细胞介素（IL）-2是核心靶标，并富含炎症通路。在体外，ELP抑制NECs中由双调蛋白、缺氧、IL-2和IL-13诱导的粘蛋白5AC的过度表达。ELP 降低了 NEC 中 2 型炎症介质、花生四烯酸 15-脂氧合酶、C-C 基序趋化因子配体 26、骨膜素和上皮源警报素、胸腺基质淋巴细胞生成素、IL-33 的表达，降低了细胞因子/趋化因子的浓度，并对抗单细胞悬浮液中脂多糖诱导的炎症。在体内，ELP 可减少上皮厚度、炎症浸润、杯状细胞增生和纤毛损伤。</w:t>
            </w:r>
          </w:p>
          <w:p>
            <w:pPr>
              <w:spacing w:after="0" w:before="80"/>
            </w:pPr>
            <w:hyperlink w:history="1" r:id="rIdkdzrxpi9j_dprtxzrfa05">
              <w:r>
                <w:rPr>
                  <w:rFonts w:ascii="Microsoft YaHei UI" w:cs="Microsoft YaHei UI" w:eastAsia="Microsoft YaHei UI" w:hAnsi="Microsoft YaHei UI"/>
                  <w:color w:val="1B6CA8"/>
                  <w:sz w:val="18"/>
                  <w:szCs w:val="18"/>
                  <w:u w:val="single"/>
                </w:rPr>
                <w:t xml:space="preserve">打开原始来源</w:t>
              </w:r>
            </w:hyperlink>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涉及分子 / 靶点</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度普利尤单抗 / dupilumab / 不适用：抗体/融合蛋白/大分子药物，分子量和糖基化等取决于序列与生产工艺（28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布地奈德 / budesonide / C25H34O6（22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奥马珠单抗 / omalizumab / 不适用：抗体/融合蛋白/大分子药物，分子量和糖基化等取决于序列与生产工艺（19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盐酸氮卓斯汀+丙酸氟替卡松 / azelastine hydrochloride + fluticasone propionate / C22H25Cl2N3O + C25H31F3O5S（13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糠酸氟替卡松 / fluticasone furoate / C27H29F3O6S（13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糠酸莫米松 / mometasone furoate / C27H30Cl2O6（9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倍氯米松二丙酸酯 / beclomethasone dipropionate / C28H37ClO7（3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地氯雷他定 / desloratadine / C19H19ClN2（3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盐酸非索非那定 / fexofenadine hydrochloride / C32H40ClNO4（3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盐酸西替利嗪 / cetirizine hydrochloride / C21H27Cl3N2O3（2 条）</w:t>
      </w:r>
    </w:p>
    <w:p>
      <w:pPr>
        <w:pStyle w:val="Heading1"/>
        <w:keepNext/>
        <w:spacing w:after="160" w:before="300" w:line="340"/>
      </w:pPr>
      <w:r>
        <w:rPr>
          <w:rFonts w:ascii="Microsoft YaHei UI" w:cs="Microsoft YaHei UI" w:eastAsia="Microsoft YaHei UI" w:hAnsi="Microsoft YaHei UI"/>
          <w:color w:val="152625"/>
          <w:sz w:val="22"/>
          <w:szCs w:val="22"/>
        </w:rPr>
        <w:t xml:space="preserve">建议跟进</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区分 AR、CRSwNP 和哮喘人群，不混用适应症</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跟踪鼻喷复方的起效、症状控制和依从性</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建立重症患者向生物制剂升级的证据地图</w:t>
      </w:r>
    </w:p>
    <w:sectPr>
      <w:headerReference w:type="default" r:id="rId7"/>
      <w:footerReference w:type="default" r:id="rId8"/>
      <w:pgSz w:w="11906" w:h="16838" w:orient="portrait"/>
      <w:pgMar w:top="1150" w:right="950" w:bottom="10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UI" w:cs="Microsoft YaHei UI" w:eastAsia="Microsoft YaHei UI" w:hAnsi="Microsoft YaHei UI"/>
        <w:color w:val="5F706E"/>
        <w:sz w:val="17"/>
        <w:szCs w:val="17"/>
      </w:rPr>
      <w:t xml:space="preserve">内部工作材料 ·</w:t>
    </w:r>
    <w:r>
      <w:rPr>
        <w:rFonts w:ascii="Microsoft YaHei UI" w:cs="Microsoft YaHei UI" w:eastAsia="Microsoft YaHei UI" w:hAnsi="Microsoft YaHei UI"/>
        <w:color w:val="5F70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40"/>
      <w:jc w:val="right"/>
    </w:pPr>
    <w:r>
      <w:rPr>
        <w:rFonts w:ascii="Microsoft YaHei UI" w:cs="Microsoft YaHei UI" w:eastAsia="Microsoft YaHei UI" w:hAnsi="Microsoft YaHei UI"/>
        <w:color w:val="5F706E"/>
        <w:sz w:val="17"/>
        <w:szCs w:val="17"/>
      </w:rPr>
      <w:t xml:space="preserve">迪敏思 | 2026年7月产品情报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UI" w:cs="Microsoft YaHei UI" w:eastAsia="Microsoft YaHei UI" w:hAnsi="Microsoft YaHei UI"/>
        <w:color w:val="152625"/>
        <w:sz w:val="22"/>
        <w:szCs w:val="22"/>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pPr>
    <w:rPr>
      <w:rFonts w:ascii="Microsoft YaHei UI" w:cs="Microsoft YaHei UI" w:eastAsia="Microsoft YaHei UI" w:hAnsi="Microsoft YaHei UI"/>
      <w:b/>
      <w:bCs/>
      <w:color w:val="0B5C5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crsjhkfwehtnttgyggcn" Type="http://schemas.openxmlformats.org/officeDocument/2006/relationships/hyperlink" Target="https://clinicaltrials.gov/study/NCT07664527" TargetMode="External"/><Relationship Id="rIdn6dz2izs0qxypvyarecz4" Type="http://schemas.openxmlformats.org/officeDocument/2006/relationships/hyperlink" Target="https://clinicaltrials.gov/study/NCT05776927" TargetMode="External"/><Relationship Id="rIdp9x391zlos8ngqv3itb42" Type="http://schemas.openxmlformats.org/officeDocument/2006/relationships/hyperlink" Target="https://clinicaltrials.gov/study/NCT06052267" TargetMode="External"/><Relationship Id="rIdg__q4nbkygfuooyetsmke" Type="http://schemas.openxmlformats.org/officeDocument/2006/relationships/hyperlink" Target="https://clinicaltrials.gov/study/NCT06916884" TargetMode="External"/><Relationship Id="rIdcp-0qdrtpamda6eg35okf" Type="http://schemas.openxmlformats.org/officeDocument/2006/relationships/hyperlink" Target="https://clinicaltrials.gov/study/NCT03085797" TargetMode="External"/><Relationship Id="rIdcbwidhfphzsz-tl0tqyhl" Type="http://schemas.openxmlformats.org/officeDocument/2006/relationships/hyperlink" Target="https://clinicaltrials.gov/study/NCT05292586" TargetMode="External"/><Relationship Id="rIdoq2jilglacng_thzx1oal" Type="http://schemas.openxmlformats.org/officeDocument/2006/relationships/hyperlink" Target="https://clinicaltrials.gov/study/NCT03935971" TargetMode="External"/><Relationship Id="rIdyxcbhq3b5vlnr97-o60j6" Type="http://schemas.openxmlformats.org/officeDocument/2006/relationships/hyperlink" Target="https://clinicaltrials.gov/study/NCT05562466" TargetMode="External"/><Relationship Id="rIdmyfsmirx6ika7j6na1em8" Type="http://schemas.openxmlformats.org/officeDocument/2006/relationships/hyperlink" Target="https://pubmed.ncbi.nlm.nih.gov/42525496/" TargetMode="External"/><Relationship Id="rIddodnk7lgjlmjfguns63dr" Type="http://schemas.openxmlformats.org/officeDocument/2006/relationships/hyperlink" Target="https://pubmed.ncbi.nlm.nih.gov/42402691/" TargetMode="External"/><Relationship Id="rId6vkp-hdp9l8cc0pnoejez" Type="http://schemas.openxmlformats.org/officeDocument/2006/relationships/hyperlink" Target="https://pubmed.ncbi.nlm.nih.gov/42402677/" TargetMode="External"/><Relationship Id="rIdjzj0e7v_cnponzb7ndylz" Type="http://schemas.openxmlformats.org/officeDocument/2006/relationships/hyperlink" Target="https://pubmed.ncbi.nlm.nih.gov/42402684/" TargetMode="External"/><Relationship Id="rIdpdtwqbkpy8bnzmew0nw8h" Type="http://schemas.openxmlformats.org/officeDocument/2006/relationships/hyperlink" Target="https://pubmed.ncbi.nlm.nih.gov/42402688/" TargetMode="External"/><Relationship Id="rIdkdzrxpi9j_dprtxzrfa05" Type="http://schemas.openxmlformats.org/officeDocument/2006/relationships/hyperlink" Target="https://pubmed.ncbi.nlm.nih.gov/42547468/"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2026年7月迪敏思关注报告</dc:title>
  <dc:creator>Codex</dc:creator>
  <cp:lastModifiedBy>Un-named</cp:lastModifiedBy>
  <cp:revision>1</cp:revision>
  <dcterms:created xsi:type="dcterms:W3CDTF">2026-08-10T06:03:21.160Z</dcterms:created>
  <dcterms:modified xsi:type="dcterms:W3CDTF">2026-08-10T06:03:21.160Z</dcterms:modified>
</cp:coreProperties>
</file>

<file path=docProps/custom.xml><?xml version="1.0" encoding="utf-8"?>
<Properties xmlns="http://schemas.openxmlformats.org/officeDocument/2006/custom-properties" xmlns:vt="http://schemas.openxmlformats.org/officeDocument/2006/docPropsVTypes"/>
</file>