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line="340"/>
      </w:pPr>
      <w:r>
        <w:rPr>
          <w:rFonts w:ascii="Microsoft YaHei UI" w:cs="Microsoft YaHei UI" w:eastAsia="Microsoft YaHei UI" w:hAnsi="Microsoft YaHei UI"/>
          <w:b/>
          <w:bCs/>
          <w:color w:val="147D73"/>
          <w:sz w:val="20"/>
          <w:szCs w:val="20"/>
        </w:rPr>
        <w:t xml:space="preserve">MONTHLY PRODUCT INTELLIGENCE</w:t>
      </w:r>
    </w:p>
    <w:p>
      <w:pPr>
        <w:spacing w:after="120" w:before="0" w:line="340"/>
      </w:pPr>
      <w:r>
        <w:rPr>
          <w:rFonts w:ascii="Microsoft YaHei UI" w:cs="Microsoft YaHei UI" w:eastAsia="Microsoft YaHei UI" w:hAnsi="Microsoft YaHei UI"/>
          <w:b/>
          <w:bCs/>
          <w:color w:val="0B5C55"/>
          <w:sz w:val="40"/>
          <w:szCs w:val="40"/>
        </w:rPr>
        <w:t xml:space="preserve">怡诺思｜2026年7月关注报告</w:t>
      </w:r>
    </w:p>
    <w:p>
      <w:pPr>
        <w:spacing w:after="360" w:before="0" w:line="340"/>
      </w:pPr>
      <w:r>
        <w:rPr>
          <w:rFonts w:ascii="Microsoft YaHei UI" w:cs="Microsoft YaHei UI" w:eastAsia="Microsoft YaHei UI" w:hAnsi="Microsoft YaHei UI"/>
          <w:color w:val="5F706E"/>
          <w:sz w:val="22"/>
          <w:szCs w:val="22"/>
        </w:rPr>
        <w:t xml:space="preserve">2026-07-01 至 2026-07-31</w:t>
      </w:r>
    </w:p>
    <w:tbl>
      <w:tblPr>
        <w:tblW w:type="dxa" w:w="10000"/>
        <w:tblBorders>
          <w:top w:val="none"/>
          <w:left w:val="none"/>
          <w:bottom w:val="none"/>
          <w:right w:val="none"/>
          <w:insideH w:val="none"/>
          <w:insideV w:val="single" w:color="FFFFFF" w:sz="8"/>
        </w:tblBorders>
      </w:tblPr>
      <w:tblGrid>
        <w:gridCol w:w="2000"/>
        <w:gridCol w:w="2000"/>
        <w:gridCol w:w="2000"/>
        <w:gridCol w:w="2000"/>
        <w:gridCol w:w="2000"/>
      </w:tblGrid>
      <w:tr>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140</w:t>
            </w:r>
          </w:p>
          <w:p>
            <w:pPr>
              <w:spacing w:after="0" w:before="0" w:line="340"/>
              <w:jc w:val="center"/>
            </w:pPr>
            <w:r>
              <w:rPr>
                <w:rFonts w:ascii="Microsoft YaHei UI" w:cs="Microsoft YaHei UI" w:eastAsia="Microsoft YaHei UI" w:hAnsi="Microsoft YaHei UI"/>
                <w:color w:val="5F706E"/>
                <w:sz w:val="19"/>
                <w:szCs w:val="19"/>
              </w:rPr>
              <w:t xml:space="preserve">有效进展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69</w:t>
            </w:r>
          </w:p>
          <w:p>
            <w:pPr>
              <w:spacing w:after="0" w:before="0" w:line="340"/>
              <w:jc w:val="center"/>
            </w:pPr>
            <w:r>
              <w:rPr>
                <w:rFonts w:ascii="Microsoft YaHei UI" w:cs="Microsoft YaHei UI" w:eastAsia="Microsoft YaHei UI" w:hAnsi="Microsoft YaHei UI"/>
                <w:color w:val="5F706E"/>
                <w:sz w:val="19"/>
                <w:szCs w:val="19"/>
              </w:rPr>
              <w:t xml:space="preserve">建议跟进</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22</w:t>
            </w:r>
          </w:p>
          <w:p>
            <w:pPr>
              <w:spacing w:after="0" w:before="0" w:line="340"/>
              <w:jc w:val="center"/>
            </w:pPr>
            <w:r>
              <w:rPr>
                <w:rFonts w:ascii="Microsoft YaHei UI" w:cs="Microsoft YaHei UI" w:eastAsia="Microsoft YaHei UI" w:hAnsi="Microsoft YaHei UI"/>
                <w:color w:val="5F706E"/>
                <w:sz w:val="19"/>
                <w:szCs w:val="19"/>
              </w:rPr>
              <w:t xml:space="preserve">高证据</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2</w:t>
            </w:r>
          </w:p>
          <w:p>
            <w:pPr>
              <w:spacing w:after="0" w:before="0" w:line="340"/>
              <w:jc w:val="center"/>
            </w:pPr>
            <w:r>
              <w:rPr>
                <w:rFonts w:ascii="Microsoft YaHei UI" w:cs="Microsoft YaHei UI" w:eastAsia="Microsoft YaHei UI" w:hAnsi="Microsoft YaHei UI"/>
                <w:color w:val="5F706E"/>
                <w:sz w:val="19"/>
                <w:szCs w:val="19"/>
              </w:rPr>
              <w:t xml:space="preserve">KOL记录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2</w:t>
            </w:r>
          </w:p>
          <w:p>
            <w:pPr>
              <w:spacing w:after="0" w:before="0" w:line="340"/>
              <w:jc w:val="center"/>
            </w:pPr>
            <w:r>
              <w:rPr>
                <w:rFonts w:ascii="Microsoft YaHei UI" w:cs="Microsoft YaHei UI" w:eastAsia="Microsoft YaHei UI" w:hAnsi="Microsoft YaHei UI"/>
                <w:color w:val="5F706E"/>
                <w:sz w:val="19"/>
                <w:szCs w:val="19"/>
              </w:rPr>
              <w:t xml:space="preserve">涉及专家</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管理层摘要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750"/>
        <w:gridCol w:w="8250"/>
      </w:tblGrid>
      <w:tr>
        <w:tc>
          <w:tcPr>
            <w:tcW w:type="dxa" w:w="1750"/>
            <w:shd w:fill="DDF1EC"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一句话结论</w:t>
            </w:r>
          </w:p>
        </w:tc>
        <w:tc>
          <w:tcPr>
            <w:tcW w:type="dxa" w:w="8250"/>
            <w:shd w:fill="F2FAF8"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2026年7月怡诺思最值得注意的是：SNRI 赛道一边承受 SSRI 和安非他酮等成熟方案竞争，一边面对快速起效与致幻剂新机制。</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发生了什么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本月纳入 140 条有效产品/竞品进展，其中 69 条建议跟进、22 条为高证据。优先记录包括《裸盖菇素相关 ClinicalTrials.gov 临床研究更新（NCT07703722）》、《盐酸文拉法辛相关 ClinicalTrials.gov 临床研究更新（NCT07737158）》。</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为什么关注</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难治性抑郁和快速起效治疗的推进，会改变怡诺思的治疗序列、换药逻辑和疗效预期沟通。</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建议动作</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跟踪难治性抑郁研究的缓解和复发终点；比较 SNRI、安非他酮和快速起效方案的患者选择；更新停药、耐受性和长期治疗沟通。</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本月重点更新</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5400"/>
        <w:gridCol w:w="3150"/>
      </w:tblGrid>
      <w:tr>
        <w:trPr>
          <w:tblHeader/>
        </w:trPr>
        <w:tc>
          <w:tcPr>
            <w:tcW w:type="dxa" w:w="14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日期 / 来源</w:t>
            </w:r>
          </w:p>
        </w:tc>
        <w:tc>
          <w:tcPr>
            <w:tcW w:type="dxa" w:w="540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研究或事件</w:t>
            </w:r>
          </w:p>
        </w:tc>
        <w:tc>
          <w:tcPr>
            <w:tcW w:type="dxa" w:w="31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判断与动作</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2026-07-14</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裸盖菇素相关 ClinicalTrials.gov 临床研究更新（NCT07703722）</w:t>
            </w:r>
          </w:p>
          <w:p>
            <w:pPr>
              <w:spacing w:after="0" w:before="0" w:line="320"/>
            </w:pPr>
            <w:r>
              <w:rPr>
                <w:rFonts w:ascii="Microsoft YaHei UI" w:cs="Microsoft YaHei UI" w:eastAsia="Microsoft YaHei UI" w:hAnsi="Microsoft YaHei UI"/>
                <w:color w:val="5F706E"/>
                <w:sz w:val="20"/>
                <w:szCs w:val="20"/>
              </w:rPr>
              <w:t xml:space="preserve">ClinicalTrials.gov 研究：裸盖菇素和结构化整合重塑疗法对肠脑轴生物标志物和重度抑郁症抑郁的影响；NCT：NCT07703722；状态：招募中；阶段：3期；适应症/疾病：重度抑郁症；创伤后应激障碍（PTSD）；首次发布：2026-07-14；最近更新：2026-07-14。</w:t>
            </w:r>
          </w:p>
          <w:p>
            <w:pPr>
              <w:spacing w:after="0" w:before="80"/>
            </w:pPr>
            <w:hyperlink w:history="1" r:id="rIdru0o05cmg9hl38hd196nl">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潜在/新机制；COMP360 等</w:t>
            </w:r>
          </w:p>
          <w:p>
            <w:pPr>
              <w:spacing w:after="0" w:before="0" w:line="320"/>
            </w:pPr>
            <w:r>
              <w:rPr>
                <w:rFonts w:ascii="Microsoft YaHei UI" w:cs="Microsoft YaHei UI" w:eastAsia="Microsoft YaHei UI" w:hAnsi="Microsoft YaHei UI"/>
                <w:color w:val="152625"/>
                <w:sz w:val="20"/>
                <w:szCs w:val="20"/>
              </w:rPr>
              <w:t xml:space="preserve">治疗抵抗性抑郁潜在新机制；建议查看研究设计、入排标准和终点，判断对怡诺思或同机制竞品监测的影响。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2026-07-30</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盐酸文拉法辛相关 ClinicalTrials.gov 临床研究更新（NCT07737158）</w:t>
            </w:r>
          </w:p>
          <w:p>
            <w:pPr>
              <w:spacing w:after="0" w:before="0" w:line="320"/>
            </w:pPr>
            <w:r>
              <w:rPr>
                <w:rFonts w:ascii="Microsoft YaHei UI" w:cs="Microsoft YaHei UI" w:eastAsia="Microsoft YaHei UI" w:hAnsi="Microsoft YaHei UI"/>
                <w:color w:val="5F706E"/>
                <w:sz w:val="20"/>
                <w:szCs w:val="20"/>
              </w:rPr>
              <w:t xml:space="preserve">ClinicalTrials.gov 研究：文拉法辛治疗非特异性腰痛；NCT：NCT07737158；状态：尚未招募；阶段：不适用；适应症/疾病：非特异性腰痛；疼痛管理；首次发布：2026-07-30；最近更新：2026-07-30。</w:t>
            </w:r>
          </w:p>
          <w:p>
            <w:pPr>
              <w:spacing w:after="0" w:before="80"/>
            </w:pPr>
            <w:hyperlink w:history="1" r:id="rIdj_kzzlw5rnjcy7rz3vetp">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本品/同成分；怡诺思/Efexor XR</w:t>
            </w:r>
          </w:p>
          <w:p>
            <w:pPr>
              <w:spacing w:after="0" w:before="0" w:line="320"/>
            </w:pPr>
            <w:r>
              <w:rPr>
                <w:rFonts w:ascii="Microsoft YaHei UI" w:cs="Microsoft YaHei UI" w:eastAsia="Microsoft YaHei UI" w:hAnsi="Microsoft YaHei UI"/>
                <w:color w:val="152625"/>
                <w:sz w:val="20"/>
                <w:szCs w:val="20"/>
              </w:rPr>
              <w:t xml:space="preserve">同成分和抗抑郁药竞争；建议查看研究设计、入排标准和终点，判断对怡诺思或同机制竞品监测的影响。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2026-07-13</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盐酸文拉法辛相关 ClinicalTrials.gov 临床研究更新（NCT07698626）</w:t>
            </w:r>
          </w:p>
          <w:p>
            <w:pPr>
              <w:spacing w:after="0" w:before="0" w:line="320"/>
            </w:pPr>
            <w:r>
              <w:rPr>
                <w:rFonts w:ascii="Microsoft YaHei UI" w:cs="Microsoft YaHei UI" w:eastAsia="Microsoft YaHei UI" w:hAnsi="Microsoft YaHei UI"/>
                <w:color w:val="5F706E"/>
                <w:sz w:val="20"/>
                <w:szCs w:val="20"/>
              </w:rPr>
              <w:t xml:space="preserve">ClinicalTrials.gov 研究：文拉法辛联合教育和行为干预治疗膀胱疼痛综合征；NCT：NCT07698626；状态：尚未招募；阶段：1期；适应症/疾病：膀胱疼痛综合征；慢性盆腔伤害性疼痛；间质性膀胱炎；首次发布：2026-07-13；最近更新：2026-07-13。</w:t>
            </w:r>
          </w:p>
          <w:p>
            <w:pPr>
              <w:spacing w:after="0" w:before="80"/>
            </w:pPr>
            <w:hyperlink w:history="1" r:id="rIdvdnnorb-5xvo1me9ujwci">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本品/同成分；怡诺思/Efexor XR</w:t>
            </w:r>
          </w:p>
          <w:p>
            <w:pPr>
              <w:spacing w:after="0" w:before="0" w:line="320"/>
            </w:pPr>
            <w:r>
              <w:rPr>
                <w:rFonts w:ascii="Microsoft YaHei UI" w:cs="Microsoft YaHei UI" w:eastAsia="Microsoft YaHei UI" w:hAnsi="Microsoft YaHei UI"/>
                <w:color w:val="152625"/>
                <w:sz w:val="20"/>
                <w:szCs w:val="20"/>
              </w:rPr>
              <w:t xml:space="preserve">同成分和抗抑郁药竞争；建议查看研究设计、入排标准和终点，判断对怡诺思或同机制竞品监测的影响。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2026-07-09</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盐酸文拉法辛相关 ClinicalTrials.gov 临床研究更新（NCT02977299）</w:t>
            </w:r>
          </w:p>
          <w:p>
            <w:pPr>
              <w:spacing w:after="0" w:before="0" w:line="320"/>
            </w:pPr>
            <w:r>
              <w:rPr>
                <w:rFonts w:ascii="Microsoft YaHei UI" w:cs="Microsoft YaHei UI" w:eastAsia="Microsoft YaHei UI" w:hAnsi="Microsoft YaHei UI"/>
                <w:color w:val="5F706E"/>
                <w:sz w:val="20"/>
                <w:szCs w:val="20"/>
              </w:rPr>
              <w:t xml:space="preserve">ClinicalTrials.gov 研究：针对 TRD 抗抑郁药不完全和无反应者的比较有效性研究试验；NCT：NCT02977299；状态：已完成；阶段：4期；适应症/疾病：难治性重度抑郁症；首次发布：2016-11-30；最近更新：2026-07-09。</w:t>
            </w:r>
          </w:p>
          <w:p>
            <w:pPr>
              <w:spacing w:after="0" w:before="80"/>
            </w:pPr>
            <w:hyperlink w:history="1" r:id="rIduaew_vri0y6-0rmxyaeuy">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本品/同成分；怡诺思/Efexor XR</w:t>
            </w:r>
          </w:p>
          <w:p>
            <w:pPr>
              <w:spacing w:after="0" w:before="0" w:line="320"/>
            </w:pPr>
            <w:r>
              <w:rPr>
                <w:rFonts w:ascii="Microsoft YaHei UI" w:cs="Microsoft YaHei UI" w:eastAsia="Microsoft YaHei UI" w:hAnsi="Microsoft YaHei UI"/>
                <w:color w:val="152625"/>
                <w:sz w:val="20"/>
                <w:szCs w:val="20"/>
              </w:rPr>
              <w:t xml:space="preserve">同成分和抗抑郁药竞争；建议查看研究设计、入排标准和终点，判断对怡诺思或同机制竞品监测的影响。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2026-07-31</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盐酸安非他酮相关 ClinicalTrials.gov 临床研究更新（NCT07738497）</w:t>
            </w:r>
          </w:p>
          <w:p>
            <w:pPr>
              <w:spacing w:after="0" w:before="0" w:line="320"/>
            </w:pPr>
            <w:r>
              <w:rPr>
                <w:rFonts w:ascii="Microsoft YaHei UI" w:cs="Microsoft YaHei UI" w:eastAsia="Microsoft YaHei UI" w:hAnsi="Microsoft YaHei UI"/>
                <w:color w:val="5F706E"/>
                <w:sz w:val="20"/>
                <w:szCs w:val="20"/>
              </w:rPr>
              <w:t xml:space="preserve">ClinicalTrials.gov 研究：精准抑郁症治疗的生物标志物和药物基因组学；NCT：NCT07738497；状态：尚未招募；阶段：不适用；适应症/疾病：抑郁症/重度抑郁症；首次发布：2026-07-31；最近更新：2026-07-31。</w:t>
            </w:r>
          </w:p>
          <w:p>
            <w:pPr>
              <w:spacing w:after="0" w:before="80"/>
            </w:pPr>
            <w:hyperlink w:history="1" r:id="rId1sy_rmxb0xb1kpb-5noq3">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机制竞品；Wellbutrin</w:t>
            </w:r>
          </w:p>
          <w:p>
            <w:pPr>
              <w:spacing w:after="0" w:before="0" w:line="320"/>
            </w:pPr>
            <w:r>
              <w:rPr>
                <w:rFonts w:ascii="Microsoft YaHei UI" w:cs="Microsoft YaHei UI" w:eastAsia="Microsoft YaHei UI" w:hAnsi="Microsoft YaHei UI"/>
                <w:color w:val="152625"/>
                <w:sz w:val="20"/>
                <w:szCs w:val="20"/>
              </w:rPr>
              <w:t xml:space="preserve">非 SSRI/SNRI 替代；建议查看研究设计、入排标准和终点，判断对怡诺思或同机制竞品监测的影响。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2026-07-31</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盐酸艾司氯胺酮相关 ClinicalTrials.gov 临床研究更新（NCT07227454）</w:t>
            </w:r>
          </w:p>
          <w:p>
            <w:pPr>
              <w:spacing w:after="0" w:before="0" w:line="320"/>
            </w:pPr>
            <w:r>
              <w:rPr>
                <w:rFonts w:ascii="Microsoft YaHei UI" w:cs="Microsoft YaHei UI" w:eastAsia="Microsoft YaHei UI" w:hAnsi="Microsoft YaHei UI"/>
                <w:color w:val="5F706E"/>
                <w:sz w:val="20"/>
                <w:szCs w:val="20"/>
              </w:rPr>
              <w:t xml:space="preserve">ClinicalTrials.gov 研究：评估艾氯胺酮减轻重度抑郁症症状的功效和安全性的研究；NCT：NCT07227454；状态：招募中；阶段：3期；适应症/疾病：抑郁症，严重；首次发布：2025-11-12；最近更新：2026-07-31。</w:t>
            </w:r>
          </w:p>
          <w:p>
            <w:pPr>
              <w:spacing w:after="0" w:before="80"/>
            </w:pPr>
            <w:hyperlink w:history="1" r:id="rIdm0d20-9lx-dmvsgjvjokp">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潜在/新机制；Spravato</w:t>
            </w:r>
          </w:p>
          <w:p>
            <w:pPr>
              <w:spacing w:after="0" w:before="0" w:line="320"/>
            </w:pPr>
            <w:r>
              <w:rPr>
                <w:rFonts w:ascii="Microsoft YaHei UI" w:cs="Microsoft YaHei UI" w:eastAsia="Microsoft YaHei UI" w:hAnsi="Microsoft YaHei UI"/>
                <w:color w:val="152625"/>
                <w:sz w:val="20"/>
                <w:szCs w:val="20"/>
              </w:rPr>
              <w:t xml:space="preserve">治疗抵抗性抑郁快速起效；建议查看研究设计、入排标准和终点，判断对怡诺思或同机制竞品监测的影响。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2026-07-31</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盐酸艾司氯胺酮相关 ClinicalTrials.gov 临床研究更新（NCT06713616）</w:t>
            </w:r>
          </w:p>
          <w:p>
            <w:pPr>
              <w:spacing w:after="0" w:before="0" w:line="320"/>
            </w:pPr>
            <w:r>
              <w:rPr>
                <w:rFonts w:ascii="Microsoft YaHei UI" w:cs="Microsoft YaHei UI" w:eastAsia="Microsoft YaHei UI" w:hAnsi="Microsoft YaHei UI"/>
                <w:color w:val="5F706E"/>
                <w:sz w:val="20"/>
                <w:szCs w:val="20"/>
              </w:rPr>
              <w:t xml:space="preserve">ClinicalTrials.gov 研究：PCORI 比较有效性研究 - Esketamine (Spravato) 与 Ketamine 等效研究；NCT：NCT06713616；状态：招募中；阶段：3期；适应症/疾病：Depression；首次发布：2024-12-03；最近更新：2026-07-31。</w:t>
            </w:r>
          </w:p>
          <w:p>
            <w:pPr>
              <w:spacing w:after="0" w:before="80"/>
            </w:pPr>
            <w:hyperlink w:history="1" r:id="rIdt5myocrymokiqdf6n9wfx">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潜在/新机制；Spravato</w:t>
            </w:r>
          </w:p>
          <w:p>
            <w:pPr>
              <w:spacing w:after="0" w:before="0" w:line="320"/>
            </w:pPr>
            <w:r>
              <w:rPr>
                <w:rFonts w:ascii="Microsoft YaHei UI" w:cs="Microsoft YaHei UI" w:eastAsia="Microsoft YaHei UI" w:hAnsi="Microsoft YaHei UI"/>
                <w:color w:val="152625"/>
                <w:sz w:val="20"/>
                <w:szCs w:val="20"/>
              </w:rPr>
              <w:t xml:space="preserve">治疗抵抗性抑郁快速起效；建议查看研究设计、入排标准和终点，判断对怡诺思或同机制竞品监测的影响。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2026-07-30</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盐酸艾司氯胺酮相关 ClinicalTrials.gov 临床研究更新（NCT07736352）</w:t>
            </w:r>
          </w:p>
          <w:p>
            <w:pPr>
              <w:spacing w:after="0" w:before="0" w:line="320"/>
            </w:pPr>
            <w:r>
              <w:rPr>
                <w:rFonts w:ascii="Microsoft YaHei UI" w:cs="Microsoft YaHei UI" w:eastAsia="Microsoft YaHei UI" w:hAnsi="Microsoft YaHei UI"/>
                <w:color w:val="5F706E"/>
                <w:sz w:val="20"/>
                <w:szCs w:val="20"/>
              </w:rPr>
              <w:t xml:space="preserve">ClinicalTrials.gov 研究：伴随辅助剂全静脉麻醉期间适当的 BIS 范围和异丙酚效应部位浓度的探索。；NCT：NCT07736352；状态：尚未招募；阶段：不适用；适应症/疾病：膝骨关节炎；置换，膝关节；择期手术患者；ASA I/II 级患者；首次发布：2026-07-30；最近更新：2026-07-30。</w:t>
            </w:r>
          </w:p>
          <w:p>
            <w:pPr>
              <w:spacing w:after="0" w:before="80"/>
            </w:pPr>
            <w:hyperlink w:history="1" r:id="rIdal0b1ttr8qpy2ajhf87gk">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潜在/新机制；Spravato</w:t>
            </w:r>
          </w:p>
          <w:p>
            <w:pPr>
              <w:spacing w:after="0" w:before="0" w:line="320"/>
            </w:pPr>
            <w:r>
              <w:rPr>
                <w:rFonts w:ascii="Microsoft YaHei UI" w:cs="Microsoft YaHei UI" w:eastAsia="Microsoft YaHei UI" w:hAnsi="Microsoft YaHei UI"/>
                <w:color w:val="152625"/>
                <w:sz w:val="20"/>
                <w:szCs w:val="20"/>
              </w:rPr>
              <w:t xml:space="preserve">治疗抵抗性抑郁快速起效；建议查看研究设计、入排标准和终点，判断对怡诺思或同机制竞品监测的影响。</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KOL / 专家动态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8550"/>
      </w:tblGrid>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2026-07-20</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谢鹏｜重庆医科大学附属第一医院</w:t>
            </w:r>
          </w:p>
          <w:p>
            <w:pPr>
              <w:spacing w:after="70" w:before="0" w:line="340"/>
            </w:pPr>
            <w:r>
              <w:rPr>
                <w:rFonts w:ascii="Microsoft YaHei UI" w:cs="Microsoft YaHei UI" w:eastAsia="Microsoft YaHei UI" w:hAnsi="Microsoft YaHei UI"/>
                <w:b/>
                <w:bCs/>
                <w:color w:val="152625"/>
                <w:sz w:val="22"/>
                <w:szCs w:val="22"/>
              </w:rPr>
              <w:t xml:space="preserve">BASE 方案：盐酸安非他酮治疗中国急性缺血性中风的多中心、双盲、随机、对照试验。</w:t>
            </w:r>
          </w:p>
          <w:p>
            <w:pPr>
              <w:spacing w:after="0" w:before="0" w:line="320"/>
            </w:pPr>
            <w:r>
              <w:rPr>
                <w:rFonts w:ascii="Microsoft YaHei UI" w:cs="Microsoft YaHei UI" w:eastAsia="Microsoft YaHei UI" w:hAnsi="Microsoft YaHei UI"/>
                <w:color w:val="5F706E"/>
                <w:sz w:val="20"/>
                <w:szCs w:val="20"/>
              </w:rPr>
              <w:t xml:space="preserve">研究主题：BASE 方案：盐酸安非他酮治疗中国急性缺血性中风的多中心、双盲、随机、对照试验。。摘要要点：简介：中风仍然是全世界残疾和死亡的主要原因，迫切需要新的治疗策略来改善康复。盐酸安非他酮是一种去甲肾上腺素-多巴胺再摄取抑制剂，由于其独特的作用机制，可以促进运动和认知恢复。评估盐酸安非他酮与安慰剂早期辅助治疗对急性缺血性卒中患者功能恢复的有效性和安全性。方法和分析：BASE 是一项研究者发起的、多中心、随机、双盲、安慰剂对照试验。我们计划从中国约 40 个卒中中心招募 1054 名符合条件的急性缺血性卒中患者（美国国立卫生研究院卒中量表 (NIHSS) 评分 8-15，发病后 2-7 天内）。参与者将被随机分配 (1:1)，除了接受标准的基于指南的护理外，还接受口服盐酸安非他酮（75 毫克，每天两次）或匹配的安慰剂，为期 30 天。主要疗效终点是获得良好功能结果的患者比例，定义为 90 天时改良 Rankin 量表 (mRS) 评分为 0-3 分。主要次要终点包括 mRS 评分的变化、NIHSS 的变化、汉密尔顿抑郁评定量表 (HAMD-17)、Fugl-Meyer 运动量表评分和生活质量 (EQ-5D)。安全性终点包括死亡率、血管事件和不良事件发生率。将对意向治疗人群和符合方案的人群进行分析。伦理与传播：本研究方案经重庆医科大学附属第一医院伦理委员会批准（ID ZZ2025-747-01），所有参与者均需提供书面知情同意书。结果将通过同行评审的出版物和会议演示来传播。</w:t>
            </w:r>
          </w:p>
          <w:p>
            <w:pPr>
              <w:spacing w:after="0" w:before="80"/>
            </w:pPr>
            <w:hyperlink w:history="1" r:id="rIdp7rbuvrz0bv9mluivf3gp">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2026-07-01</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李水清｜北京大学第三医院</w:t>
            </w:r>
          </w:p>
          <w:p>
            <w:pPr>
              <w:spacing w:after="70" w:before="0" w:line="340"/>
            </w:pPr>
            <w:r>
              <w:rPr>
                <w:rFonts w:ascii="Microsoft YaHei UI" w:cs="Microsoft YaHei UI" w:eastAsia="Microsoft YaHei UI" w:hAnsi="Microsoft YaHei UI"/>
                <w:b/>
                <w:bCs/>
                <w:color w:val="152625"/>
                <w:sz w:val="22"/>
                <w:szCs w:val="22"/>
              </w:rPr>
              <w:t xml:space="preserve">普瑞巴林联合文拉法辛治疗纤维肌痛患者的疗效和安全性：前瞻性、随机、开放标签、盲点试验方案。</w:t>
            </w:r>
          </w:p>
          <w:p>
            <w:pPr>
              <w:spacing w:after="0" w:before="0" w:line="320"/>
            </w:pPr>
            <w:r>
              <w:rPr>
                <w:rFonts w:ascii="Microsoft YaHei UI" w:cs="Microsoft YaHei UI" w:eastAsia="Microsoft YaHei UI" w:hAnsi="Microsoft YaHei UI"/>
                <w:color w:val="5F706E"/>
                <w:sz w:val="20"/>
                <w:szCs w:val="20"/>
              </w:rPr>
              <w:t xml:space="preserve">研究主题：普瑞巴林联合文拉法辛治疗纤维肌痛患者的疗效和安全性：前瞻性、随机、开放标签、盲点试验方案。。摘要要点：背景：纤维肌痛（FM）是一种慢性疾病，其特征是广泛的疼痛以及一系列躯体和心理症状，给患者带来沉重负担。虽然普瑞巴林对于许多 FM 患者来说是一种经批准且有效的单一疗法，但这种药物的疗效往往不完全，特别是对于疲劳和焦虑等症状。结合选择性血清素和去甲肾上腺素再摄取抑制剂（SNRI）（例如度洛西汀）的联合疗法已显示出增强治疗效果的希望。文拉法辛是一种 SNRI，已被证实可作为 FM 治疗药物，具有与普瑞巴林不同的药理学机制。然而，普瑞巴林和文拉法辛联合使用的协同潜力尚未得到正式评估。目的：本研究方案描述了一项试验，旨在检验普瑞巴林和文拉法辛联合用药在缓解 FM 患者疼痛方面优于普瑞巴林单一疗法的假设。研究设计：这是一项多中心、前瞻性、随机、开放标签、盲态终点研究。地点：这项研究将在 7 家不同的医院进行。方法：我们将招募 750 名诊断为 FM 且患有中度至重度疼痛的成年人。患者将以一对一的比例随机分配接受普瑞巴林单一疗法或普瑞巴林和文拉法辛组成的联合疗法，为期 12 周。两组都将遵循灵活的强制滴定方案以达到最大耐受剂量。虽然患者和治疗医生将了解治疗分配，但结果评估人员将保持盲目。结果：主要结果是第 4 周时的平均每日疼痛强度，采用 11 点数字评分量表测量。次要结局将在基线以及治疗开始后第 1、2、4、8 和 12 周进行评估。</w:t>
            </w:r>
          </w:p>
          <w:p>
            <w:pPr>
              <w:spacing w:after="0" w:before="80"/>
            </w:pPr>
            <w:hyperlink w:history="1" r:id="rIdfprsxv6cstykg56vqw0c8">
              <w:r>
                <w:rPr>
                  <w:rFonts w:ascii="Microsoft YaHei UI" w:cs="Microsoft YaHei UI" w:eastAsia="Microsoft YaHei UI" w:hAnsi="Microsoft YaHei UI"/>
                  <w:color w:val="1B6CA8"/>
                  <w:sz w:val="18"/>
                  <w:szCs w:val="18"/>
                  <w:u w:val="single"/>
                </w:rPr>
                <w:t xml:space="preserve">打开原始来源</w:t>
              </w:r>
            </w:hyperlink>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涉及分子 / 靶点</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盐酸艾司氯胺酮 / esketamine hydrochloride / C13H17Cl2NO（28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裸盖菇素 / psilocybin / C12H17N2O4P（27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盐酸安非他酮 / bupropion hydrochloride / C13H19Cl2NO（21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盐酸文拉法辛 / venlafaxine hydrochloride / C17H28ClNO2（16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盐酸舍曲林 / sertraline hydrochloride / C17H18Cl3N（14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盐酸度洛西汀 / duloxetine hydrochloride / C18H20ClNOS（9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氢溴酸伏硫西汀 / vortioxetine hydrobromide / C18H23BrN2S（7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阿戈美拉汀 / agomelatine / C15H17NO2（6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米氮平 / mirtazapine / C17H19N3（5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祖拉诺龙 / zuranolone / C25H35N3O2（3 条）</w:t>
      </w:r>
    </w:p>
    <w:p>
      <w:pPr>
        <w:pStyle w:val="Heading1"/>
        <w:keepNext/>
        <w:spacing w:after="160" w:before="300" w:line="340"/>
      </w:pPr>
      <w:r>
        <w:rPr>
          <w:rFonts w:ascii="Microsoft YaHei UI" w:cs="Microsoft YaHei UI" w:eastAsia="Microsoft YaHei UI" w:hAnsi="Microsoft YaHei UI"/>
          <w:color w:val="152625"/>
          <w:sz w:val="22"/>
          <w:szCs w:val="22"/>
        </w:rPr>
        <w:t xml:space="preserve">建议跟进</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跟踪难治性抑郁研究的缓解和复发终点</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比较 SNRI、安非他酮和快速起效方案的患者选择</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更新停药、耐受性和长期治疗沟通</w:t>
      </w:r>
    </w:p>
    <w:sectPr>
      <w:headerReference w:type="default" r:id="rId7"/>
      <w:footerReference w:type="default" r:id="rId8"/>
      <w:pgSz w:w="11906" w:h="16838" w:orient="portrait"/>
      <w:pgMar w:top="1150" w:right="950" w:bottom="10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UI" w:cs="Microsoft YaHei UI" w:eastAsia="Microsoft YaHei UI" w:hAnsi="Microsoft YaHei UI"/>
        <w:color w:val="5F706E"/>
        <w:sz w:val="17"/>
        <w:szCs w:val="17"/>
      </w:rPr>
      <w:t xml:space="preserve">内部工作材料 ·</w:t>
    </w:r>
    <w:r>
      <w:rPr>
        <w:rFonts w:ascii="Microsoft YaHei UI" w:cs="Microsoft YaHei UI" w:eastAsia="Microsoft YaHei UI" w:hAnsi="Microsoft YaHei UI"/>
        <w:color w:val="5F70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40"/>
      <w:jc w:val="right"/>
    </w:pPr>
    <w:r>
      <w:rPr>
        <w:rFonts w:ascii="Microsoft YaHei UI" w:cs="Microsoft YaHei UI" w:eastAsia="Microsoft YaHei UI" w:hAnsi="Microsoft YaHei UI"/>
        <w:color w:val="5F706E"/>
        <w:sz w:val="17"/>
        <w:szCs w:val="17"/>
      </w:rPr>
      <w:t xml:space="preserve">怡诺思 | 2026年7月产品情报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UI" w:cs="Microsoft YaHei UI" w:eastAsia="Microsoft YaHei UI" w:hAnsi="Microsoft YaHei UI"/>
        <w:color w:val="152625"/>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pPr>
    <w:rPr>
      <w:rFonts w:ascii="Microsoft YaHei UI" w:cs="Microsoft YaHei UI" w:eastAsia="Microsoft YaHei UI" w:hAnsi="Microsoft YaHei UI"/>
      <w:b/>
      <w:bCs/>
      <w:color w:val="0B5C5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u0o05cmg9hl38hd196nl" Type="http://schemas.openxmlformats.org/officeDocument/2006/relationships/hyperlink" Target="https://clinicaltrials.gov/study/NCT07703722" TargetMode="External"/><Relationship Id="rIdj_kzzlw5rnjcy7rz3vetp" Type="http://schemas.openxmlformats.org/officeDocument/2006/relationships/hyperlink" Target="https://clinicaltrials.gov/study/NCT07737158" TargetMode="External"/><Relationship Id="rIdvdnnorb-5xvo1me9ujwci" Type="http://schemas.openxmlformats.org/officeDocument/2006/relationships/hyperlink" Target="https://clinicaltrials.gov/study/NCT07698626" TargetMode="External"/><Relationship Id="rIduaew_vri0y6-0rmxyaeuy" Type="http://schemas.openxmlformats.org/officeDocument/2006/relationships/hyperlink" Target="https://clinicaltrials.gov/study/NCT02977299" TargetMode="External"/><Relationship Id="rId1sy_rmxb0xb1kpb-5noq3" Type="http://schemas.openxmlformats.org/officeDocument/2006/relationships/hyperlink" Target="https://clinicaltrials.gov/study/NCT07738497" TargetMode="External"/><Relationship Id="rIdm0d20-9lx-dmvsgjvjokp" Type="http://schemas.openxmlformats.org/officeDocument/2006/relationships/hyperlink" Target="https://clinicaltrials.gov/study/NCT07227454" TargetMode="External"/><Relationship Id="rIdt5myocrymokiqdf6n9wfx" Type="http://schemas.openxmlformats.org/officeDocument/2006/relationships/hyperlink" Target="https://clinicaltrials.gov/study/NCT06713616" TargetMode="External"/><Relationship Id="rIdal0b1ttr8qpy2ajhf87gk" Type="http://schemas.openxmlformats.org/officeDocument/2006/relationships/hyperlink" Target="https://clinicaltrials.gov/study/NCT07736352" TargetMode="External"/><Relationship Id="rIdp7rbuvrz0bv9mluivf3gp" Type="http://schemas.openxmlformats.org/officeDocument/2006/relationships/hyperlink" Target="https://pubmed.ncbi.nlm.nih.gov/42476728/" TargetMode="External"/><Relationship Id="rIdfprsxv6cstykg56vqw0c8" Type="http://schemas.openxmlformats.org/officeDocument/2006/relationships/hyperlink" Target="https://pubmed.ncbi.nlm.nih.gov/42550524/"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2026年7月怡诺思关注报告</dc:title>
  <dc:creator>Codex</dc:creator>
  <cp:lastModifiedBy>Un-named</cp:lastModifiedBy>
  <cp:revision>1</cp:revision>
  <dcterms:created xsi:type="dcterms:W3CDTF">2026-08-10T06:03:21.150Z</dcterms:created>
  <dcterms:modified xsi:type="dcterms:W3CDTF">2026-08-10T06:03:21.150Z</dcterms:modified>
</cp:coreProperties>
</file>

<file path=docProps/custom.xml><?xml version="1.0" encoding="utf-8"?>
<Properties xmlns="http://schemas.openxmlformats.org/officeDocument/2006/custom-properties" xmlns:vt="http://schemas.openxmlformats.org/officeDocument/2006/docPropsVTypes"/>
</file>