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爱宁达｜2026年7月关注报告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184</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110</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41</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4</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4</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2026年7月爱宁达最值得注意的是：AD 治疗竞争在外用非激素、外用 JAK 与系统生物制剂三条路径上同步升级。</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184 条有效产品/竞品进展，其中 110 条建议跟进、41 条为高证据。优先记录包括《他克莫司相关 ClinicalTrials.gov 临床研究更新（NCT07713186）》、《罗氟司特相关 ClinicalTrials.gov 临床研究更新（NCT07725822）》。</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爱宁达是乳膏，最直接的竞争来自外用方案；系统治疗则影响中重度患者升级路径和轻中度阶段的早期控制逻辑。</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严格排除滴眼液、移植等非皮肤外用剂型；单独比较外用非激素、外用 JAK 和系统治疗；更新轻中度 AD、敏感部位和长期管理的沟通要点。</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他克莫司相关 ClinicalTrials.gov 临床研究更新（NCT07713186）</w:t>
            </w:r>
          </w:p>
          <w:p>
            <w:pPr>
              <w:spacing w:after="0" w:before="0" w:line="320"/>
            </w:pPr>
            <w:r>
              <w:rPr>
                <w:rFonts w:ascii="Microsoft YaHei UI" w:cs="Microsoft YaHei UI" w:eastAsia="Microsoft YaHei UI" w:hAnsi="Microsoft YaHei UI"/>
                <w:color w:val="5F706E"/>
                <w:sz w:val="20"/>
                <w:szCs w:val="20"/>
              </w:rPr>
              <w:t xml:space="preserve">ClinicalTrials.gov 研究：阿奇霉素治疗特应性皮炎；NCT：NCT07713186；状态：尚未招募；阶段：4期；适应症/疾病：特应性皮炎；首次发布：2026-07-20；最近更新：2026-07-20。</w:t>
            </w:r>
          </w:p>
          <w:p>
            <w:pPr>
              <w:spacing w:after="0" w:before="80"/>
            </w:pPr>
            <w:hyperlink w:history="1" r:id="rId3se1tjqjkvnmbql09lmn1">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直接竞品；Protopic</w:t>
            </w:r>
          </w:p>
          <w:p>
            <w:pPr>
              <w:spacing w:after="0" w:before="0" w:line="320"/>
            </w:pPr>
            <w:r>
              <w:rPr>
                <w:rFonts w:ascii="Microsoft YaHei UI" w:cs="Microsoft YaHei UI" w:eastAsia="Microsoft YaHei UI" w:hAnsi="Microsoft YaHei UI"/>
                <w:color w:val="152625"/>
                <w:sz w:val="20"/>
                <w:szCs w:val="20"/>
              </w:rPr>
              <w:t xml:space="preserve">外用 AD 核心替代；仅纳入皮肤外用相关研究；建议查看研究设计、入排标准和终点，判断对爱宁达或同机制竞品监测的影响。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罗氟司特相关 ClinicalTrials.gov 临床研究更新（NCT07725822）</w:t>
            </w:r>
          </w:p>
          <w:p>
            <w:pPr>
              <w:spacing w:after="0" w:before="0" w:line="320"/>
            </w:pPr>
            <w:r>
              <w:rPr>
                <w:rFonts w:ascii="Microsoft YaHei UI" w:cs="Microsoft YaHei UI" w:eastAsia="Microsoft YaHei UI" w:hAnsi="Microsoft YaHei UI"/>
                <w:color w:val="5F706E"/>
                <w:sz w:val="20"/>
                <w:szCs w:val="20"/>
              </w:rPr>
              <w:t xml:space="preserve">ClinicalTrials.gov 研究：评估 0.3% 罗氟司特乳膏治疗慢性斑块和指甲银屑病疗效和安全性的开放标签试验；NCT：NCT07725822；状态：尚未招募；阶段：4期；适应症/疾病：慢性斑块状银屑病；指甲银屑病；首次发布：2026-07-24；最近更新：2026-07-28。</w:t>
            </w:r>
          </w:p>
          <w:p>
            <w:pPr>
              <w:spacing w:after="0" w:before="80"/>
            </w:pPr>
            <w:hyperlink w:history="1" r:id="rIdqdv25imczi7-_vnvm5i12">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机制竞品；Zoryve</w:t>
            </w:r>
          </w:p>
          <w:p>
            <w:pPr>
              <w:spacing w:after="0" w:before="0" w:line="320"/>
            </w:pPr>
            <w:r>
              <w:rPr>
                <w:rFonts w:ascii="Microsoft YaHei UI" w:cs="Microsoft YaHei UI" w:eastAsia="Microsoft YaHei UI" w:hAnsi="Microsoft YaHei UI"/>
                <w:color w:val="152625"/>
                <w:sz w:val="20"/>
                <w:szCs w:val="20"/>
              </w:rPr>
              <w:t xml:space="preserve">炎症性皮肤病外用替代；建议查看研究设计、入排标准和终点，判断对爱宁达或同机制竞品监测的影响。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2026-07-16</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本维莫德相关 ClinicalTrials.gov 临床研究更新（NCT07265479）</w:t>
            </w:r>
          </w:p>
          <w:p>
            <w:pPr>
              <w:spacing w:after="0" w:before="0" w:line="320"/>
            </w:pPr>
            <w:r>
              <w:rPr>
                <w:rFonts w:ascii="Microsoft YaHei UI" w:cs="Microsoft YaHei UI" w:eastAsia="Microsoft YaHei UI" w:hAnsi="Microsoft YaHei UI"/>
                <w:color w:val="5F706E"/>
                <w:sz w:val="20"/>
                <w:szCs w:val="20"/>
              </w:rPr>
              <w:t xml:space="preserve">ClinicalTrials.gov 研究：一项研究 Tapinarof 乳膏（1%）在 3 个月至 24 个月以下患有特应性皮炎的参与者中的安全性和有效性的研究；NCT：NCT07265479；状态：招募中；阶段：3期；适应症/疾病：特应性皮炎；首次发布：2025-12-04；最近更新：2026-07-16。</w:t>
            </w:r>
          </w:p>
          <w:p>
            <w:pPr>
              <w:spacing w:after="0" w:before="80"/>
            </w:pPr>
            <w:hyperlink w:history="1" r:id="rIddqtugmonebhoojxoahoim">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直接竞品；Vtama/本维莫德</w:t>
            </w:r>
          </w:p>
          <w:p>
            <w:pPr>
              <w:spacing w:after="0" w:before="0" w:line="320"/>
            </w:pPr>
            <w:r>
              <w:rPr>
                <w:rFonts w:ascii="Microsoft YaHei UI" w:cs="Microsoft YaHei UI" w:eastAsia="Microsoft YaHei UI" w:hAnsi="Microsoft YaHei UI"/>
                <w:color w:val="152625"/>
                <w:sz w:val="20"/>
                <w:szCs w:val="20"/>
              </w:rPr>
              <w:t xml:space="preserve">外用非激素 AD/炎症性皮肤病竞品；建议查看研究设计、入排标准和终点，判断对爱宁达或同机制竞品监测的影响。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2026-07-02</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吡美莫司相关 ClinicalTrials.gov 临床研究更新（NCT06241118）</w:t>
            </w:r>
          </w:p>
          <w:p>
            <w:pPr>
              <w:spacing w:after="0" w:before="0" w:line="320"/>
            </w:pPr>
            <w:r>
              <w:rPr>
                <w:rFonts w:ascii="Microsoft YaHei UI" w:cs="Microsoft YaHei UI" w:eastAsia="Microsoft YaHei UI" w:hAnsi="Microsoft YaHei UI"/>
                <w:color w:val="5F706E"/>
                <w:sz w:val="20"/>
                <w:szCs w:val="20"/>
              </w:rPr>
              <w:t xml:space="preserve">ClinicalTrials.gov 研究：一项评估皮下注射 Amlitelimab 对 12 岁及以上患有中度至重度 AD 的参与者进行背景局部皮质类固醇治疗的有效性和安全性的研究，这些参与者对既往生物疗法或口服 JAK 抑制剂反应不足；NCT：NCT06241118；状态：招募中；阶段：3期；适应症/疾病：特应性皮炎；首次发布：2024-02-05；最近更新：2026-07-02。</w:t>
            </w:r>
          </w:p>
          <w:p>
            <w:pPr>
              <w:spacing w:after="0" w:before="80"/>
            </w:pPr>
            <w:hyperlink w:history="1" r:id="rIdg4xbr4ipntqgdusylwwkh">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本品/同成分；爱宁达/Elidel</w:t>
            </w:r>
          </w:p>
          <w:p>
            <w:pPr>
              <w:spacing w:after="0" w:before="0" w:line="320"/>
            </w:pPr>
            <w:r>
              <w:rPr>
                <w:rFonts w:ascii="Microsoft YaHei UI" w:cs="Microsoft YaHei UI" w:eastAsia="Microsoft YaHei UI" w:hAnsi="Microsoft YaHei UI"/>
                <w:color w:val="152625"/>
                <w:sz w:val="20"/>
                <w:szCs w:val="20"/>
              </w:rPr>
              <w:t xml:space="preserve">同成分和外用 AD 药物竞争；建议查看研究设计、入排标准和终点，判断对爱宁达或同机制竞品监测的影响。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来布奇珠单抗相关 ClinicalTrials.gov 临床研究更新（NCT05735483）</w:t>
            </w:r>
          </w:p>
          <w:p>
            <w:pPr>
              <w:spacing w:after="0" w:before="0" w:line="320"/>
            </w:pPr>
            <w:r>
              <w:rPr>
                <w:rFonts w:ascii="Microsoft YaHei UI" w:cs="Microsoft YaHei UI" w:eastAsia="Microsoft YaHei UI" w:hAnsi="Microsoft YaHei UI"/>
                <w:color w:val="5F706E"/>
                <w:sz w:val="20"/>
                <w:szCs w:val="20"/>
              </w:rPr>
              <w:t xml:space="preserve">ClinicalTrials.gov 研究：一项评估 Lebrikizumab (LY3650150) 对 6 个月至 18 岁以下中度至重度特应性皮炎参与者的长期安全性和有效性的研究；NCT：NCT05735483；状态：仅限受邀入组；阶段：3期；适应症/疾病：特应性皮炎；湿疹；首次发布：2023-02-21；最近更新：2026-07-30。</w:t>
            </w:r>
          </w:p>
          <w:p>
            <w:pPr>
              <w:spacing w:after="0" w:before="80"/>
            </w:pPr>
            <w:hyperlink w:history="1" r:id="rId_9hgco7nz9ol4qc4nbrca">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生物制剂竞品；Ebglyss</w:t>
            </w:r>
          </w:p>
          <w:p>
            <w:pPr>
              <w:spacing w:after="0" w:before="0" w:line="320"/>
            </w:pPr>
            <w:r>
              <w:rPr>
                <w:rFonts w:ascii="Microsoft YaHei UI" w:cs="Microsoft YaHei UI" w:eastAsia="Microsoft YaHei UI" w:hAnsi="Microsoft YaHei UI"/>
                <w:color w:val="152625"/>
                <w:sz w:val="20"/>
                <w:szCs w:val="20"/>
              </w:rPr>
              <w:t xml:space="preserve">中重度 AD 生物制剂；建议查看研究设计、入排标准和终点，判断对爱宁达或同机制竞品监测的影响。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来布奇珠单抗相关 ClinicalTrials.gov 临床研究更新（NCT05559359）</w:t>
            </w:r>
          </w:p>
          <w:p>
            <w:pPr>
              <w:spacing w:after="0" w:before="0" w:line="320"/>
            </w:pPr>
            <w:r>
              <w:rPr>
                <w:rFonts w:ascii="Microsoft YaHei UI" w:cs="Microsoft YaHei UI" w:eastAsia="Microsoft YaHei UI" w:hAnsi="Microsoft YaHei UI"/>
                <w:color w:val="5F706E"/>
                <w:sz w:val="20"/>
                <w:szCs w:val="20"/>
              </w:rPr>
              <w:t xml:space="preserve">ClinicalTrials.gov 研究：Lebrikizumab (LY3650150) 在 6 个月至 18 岁以下中度至重度特应性皮炎参与者中的研究；NCT：NCT05559359；状态：活跃，已停止招募；阶段：3期；适应症/疾病：特应性皮炎；湿疹；首次发布：2022-09-29；最近更新：2026-07-30。</w:t>
            </w:r>
          </w:p>
          <w:p>
            <w:pPr>
              <w:spacing w:after="0" w:before="80"/>
            </w:pPr>
            <w:hyperlink w:history="1" r:id="rIdjbc6ovod0oppw5hdc_veb">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生物制剂竞品；Ebglyss</w:t>
            </w:r>
          </w:p>
          <w:p>
            <w:pPr>
              <w:spacing w:after="0" w:before="0" w:line="320"/>
            </w:pPr>
            <w:r>
              <w:rPr>
                <w:rFonts w:ascii="Microsoft YaHei UI" w:cs="Microsoft YaHei UI" w:eastAsia="Microsoft YaHei UI" w:hAnsi="Microsoft YaHei UI"/>
                <w:color w:val="152625"/>
                <w:sz w:val="20"/>
                <w:szCs w:val="20"/>
              </w:rPr>
              <w:t xml:space="preserve">中重度 AD 生物制剂；建议查看研究设计、入排标准和终点，判断对爱宁达或同机制竞品监测的影响。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2026-07-28</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奈莫利珠单抗相关 ClinicalTrials.gov 临床研究更新（NCT07730788）</w:t>
            </w:r>
          </w:p>
          <w:p>
            <w:pPr>
              <w:spacing w:after="0" w:before="0" w:line="320"/>
            </w:pPr>
            <w:r>
              <w:rPr>
                <w:rFonts w:ascii="Microsoft YaHei UI" w:cs="Microsoft YaHei UI" w:eastAsia="Microsoft YaHei UI" w:hAnsi="Microsoft YaHei UI"/>
                <w:color w:val="5F706E"/>
                <w:sz w:val="20"/>
                <w:szCs w:val="20"/>
              </w:rPr>
              <w:t xml:space="preserve">ClinicalTrials.gov 研究：反射共聚焦显微镜评估奈莫珠单抗治疗特应性皮炎患者的皮肤结构；NCT：NCT07730788；状态：招募中；阶段：不适用；适应症/疾病：特应性皮炎（AD）；特应性皮炎（湿疹）；首次发布：2026-07-28；最近更新：2026-07-28。</w:t>
            </w:r>
          </w:p>
          <w:p>
            <w:pPr>
              <w:spacing w:after="0" w:before="80"/>
            </w:pPr>
            <w:hyperlink w:history="1" r:id="rIdvce5lesg93yunvplzvknc">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生物制剂竞品；Mitchga/Nemluvio</w:t>
            </w:r>
          </w:p>
          <w:p>
            <w:pPr>
              <w:spacing w:after="0" w:before="0" w:line="320"/>
            </w:pPr>
            <w:r>
              <w:rPr>
                <w:rFonts w:ascii="Microsoft YaHei UI" w:cs="Microsoft YaHei UI" w:eastAsia="Microsoft YaHei UI" w:hAnsi="Microsoft YaHei UI"/>
                <w:color w:val="152625"/>
                <w:sz w:val="20"/>
                <w:szCs w:val="20"/>
              </w:rPr>
              <w:t xml:space="preserve">瘙痒和 AD 相关生物制剂；建议查看研究设计、入排标准和终点，判断对爱宁达或同机制竞品监测的影响。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2026-07-22</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阿布昔替尼相关 ClinicalTrials.gov 临床研究更新（NCT06807281）</w:t>
            </w:r>
          </w:p>
          <w:p>
            <w:pPr>
              <w:spacing w:after="0" w:before="0" w:line="320"/>
            </w:pPr>
            <w:r>
              <w:rPr>
                <w:rFonts w:ascii="Microsoft YaHei UI" w:cs="Microsoft YaHei UI" w:eastAsia="Microsoft YaHei UI" w:hAnsi="Microsoft YaHei UI"/>
                <w:color w:val="5F706E"/>
                <w:sz w:val="20"/>
                <w:szCs w:val="20"/>
              </w:rPr>
              <w:t xml:space="preserve">ClinicalTrials.gov 研究：一项名为 Abrocitinib 的药物治疗 2 岁及以上中度至重度湿疹儿童的长期研究；NCT：NCT06807281；状态：招募中；阶段：3期；适应症/疾病：特应性皮炎；首次发布：2025-02-04；最近更新：2026-07-22。</w:t>
            </w:r>
          </w:p>
          <w:p>
            <w:pPr>
              <w:spacing w:after="0" w:before="80"/>
            </w:pPr>
            <w:hyperlink w:history="1" r:id="rIdrskkn2athhrquhjk6_npm">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系统治疗竞品；Cibinqo</w:t>
            </w:r>
          </w:p>
          <w:p>
            <w:pPr>
              <w:spacing w:after="0" w:before="0" w:line="320"/>
            </w:pPr>
            <w:r>
              <w:rPr>
                <w:rFonts w:ascii="Microsoft YaHei UI" w:cs="Microsoft YaHei UI" w:eastAsia="Microsoft YaHei UI" w:hAnsi="Microsoft YaHei UI"/>
                <w:color w:val="152625"/>
                <w:sz w:val="20"/>
                <w:szCs w:val="20"/>
              </w:rPr>
              <w:t xml:space="preserve">中重度 AD 系统治疗；建议查看研究设计、入排标准和终点，判断对爱宁达或同机制竞品监测的影响。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2026-07-30</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王华｜重庆医科大学附属儿童医院</w:t>
            </w:r>
          </w:p>
          <w:p>
            <w:pPr>
              <w:spacing w:after="70" w:before="0" w:line="340"/>
            </w:pPr>
            <w:r>
              <w:rPr>
                <w:rFonts w:ascii="Microsoft YaHei UI" w:cs="Microsoft YaHei UI" w:eastAsia="Microsoft YaHei UI" w:hAnsi="Microsoft YaHei UI"/>
                <w:b/>
                <w:bCs/>
                <w:color w:val="152625"/>
                <w:sz w:val="22"/>
                <w:szCs w:val="22"/>
              </w:rPr>
              <w:t xml:space="preserve">炎症触发的纳米药物递送微针靶向致病性 COX2+ 内皮细胞介导的糖萼降解，以改善牛皮癣。</w:t>
            </w:r>
          </w:p>
          <w:p>
            <w:pPr>
              <w:spacing w:after="0" w:before="0" w:line="320"/>
            </w:pPr>
            <w:r>
              <w:rPr>
                <w:rFonts w:ascii="Microsoft YaHei UI" w:cs="Microsoft YaHei UI" w:eastAsia="Microsoft YaHei UI" w:hAnsi="Microsoft YaHei UI"/>
                <w:color w:val="5F706E"/>
                <w:sz w:val="20"/>
                <w:szCs w:val="20"/>
              </w:rPr>
              <w:t xml:space="preserve">研究主题：炎症触发的纳米药物递送微针靶向致病性 COX2+ 内皮细胞介导的糖萼降解，以改善牛皮癣。。摘要要点：牛皮癣是一种慢性、免疫介导的炎症性皮肤病。血管内皮是防止循环免疫细胞进入发炎皮肤的最后屏障，但其在银屑病发病机制和治疗潜力中的作用长期以来一直被忽视。在这里，我们鉴定了环氧合酶-2（COX2，由 PTGS2 编码）高内皮细胞（COX2+ EC）的致病性亚群，其特征是 P-选择素表达升高、过度氧化应激和 MMP9 介导的糖萼降解。 FDA批准的驱虫药甲苯咪唑可以有效抑制ROS-COX2-MMP9轴。在这一见解的指导下，我们开发了一个仿生平台（P@Meb-MNs）。甲苯咪唑和 P-选择素靶向配体 (PSGL-1) 自发地自组装成无载体的纳米颗粒，然后将其封装在 MMP9 响应的微针基质内。透皮给药后，微针会穿透角化过度的表皮，并响应 MMP9 水平升高而降解，释放 P@Meb-NP。在 PSGL-1 的指导下，这些纳米颗粒选择性地识别并在 COX2+ EC 中积聚，其中甲苯咪唑破坏 ROS-COX2-MMP9 反馈环路，保持糖萼完整性并抑制免疫细胞外渗。这种方法显着地将糖萼覆盖率从 11.91 ± 4.09% 提高到 87.5 ± 8.7%，并显着减少免疫细胞浸润。总的来说，该工作建立了以内皮糖萼修复为中心的血管靶向治疗范式，实现了炎症性疾病的精准有效干预。</w:t>
            </w:r>
          </w:p>
          <w:p>
            <w:pPr>
              <w:spacing w:after="0" w:before="80"/>
            </w:pPr>
            <w:hyperlink w:history="1" r:id="rIdezs_pv-dfunnzhmoeuocm">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王刚｜空军军医大学西京医院</w:t>
            </w:r>
          </w:p>
          <w:p>
            <w:pPr>
              <w:spacing w:after="70" w:before="0" w:line="340"/>
            </w:pPr>
            <w:r>
              <w:rPr>
                <w:rFonts w:ascii="Microsoft YaHei UI" w:cs="Microsoft YaHei UI" w:eastAsia="Microsoft YaHei UI" w:hAnsi="Microsoft YaHei UI"/>
                <w:b/>
                <w:bCs/>
                <w:color w:val="152625"/>
                <w:sz w:val="22"/>
                <w:szCs w:val="22"/>
              </w:rPr>
              <w:t xml:space="preserve">角质形成细胞呈递的自身抗原角蛋白 17 可促进银屑病中 T 细胞的自身反应性。</w:t>
            </w:r>
          </w:p>
          <w:p>
            <w:pPr>
              <w:spacing w:after="0" w:before="0" w:line="320"/>
            </w:pPr>
            <w:r>
              <w:rPr>
                <w:rFonts w:ascii="Microsoft YaHei UI" w:cs="Microsoft YaHei UI" w:eastAsia="Microsoft YaHei UI" w:hAnsi="Microsoft YaHei UI"/>
                <w:color w:val="5F706E"/>
                <w:sz w:val="20"/>
                <w:szCs w:val="20"/>
              </w:rPr>
              <w:t xml:space="preserve">研究主题：角质形成细胞呈递的自身抗原角蛋白 17 可促进银屑病中 T 细胞的自身反应性。。摘要要点：牛皮癣是一种 T 细胞介导的炎症和自身免疫性皮肤病，其特征是针对特定自身抗原的异常适应性免疫反应。在涉及的自身抗原中，角蛋白 17 (K17)（一种在银屑病角质形成细胞中过度表达的中间丝蛋白）被认为可形成放大炎症的“K17 环”。然而，将这种自身抗原的表现与银屑病炎症联系起来的直接证据仍然有限。在这项研究中，我们鉴定了银屑病皮肤中抗原呈递功能增强的 K17 阳性角质形成细胞亚群。质谱分析显示，活化的角质形成细胞表达负载有 K17 衍生表位的主要组织相容性复合体 (MHC) II 类分子，随后以人类白细胞抗原 (HLA) 限制的方式激活 CD4+ T 细胞。使用移植物抗宿主病 (GVHD) 小鼠模型来验证 K17 特异性 T 细胞的功能，我们将其过继转移到接受咪喹莫特 (IMQ) 攻击的小鼠中，并观察到银屑病样皮肤炎症加剧。我们的研究结果表明，角质形成细胞充当非专业抗原呈递细胞，介导 K17 特异性 T 细胞反应并放大银屑病炎症。总之，这项研究描述了 HLA 限制性、角质形成细胞介导的 K17 呈递的特征，并确定了其在促进银屑病炎症中的功能作用，表明在角质形成细胞-T 细胞相互作用中靶向 K17 可能代表一种有前途的治疗策略。</w:t>
            </w:r>
          </w:p>
          <w:p>
            <w:pPr>
              <w:spacing w:after="0" w:before="80"/>
            </w:pPr>
            <w:hyperlink w:history="1" r:id="rIdwno0p581use_k9tgwksa4">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2026-07-20</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李航｜北京大学第一医院</w:t>
            </w:r>
          </w:p>
          <w:p>
            <w:pPr>
              <w:spacing w:after="70" w:before="0" w:line="340"/>
            </w:pPr>
            <w:r>
              <w:rPr>
                <w:rFonts w:ascii="Microsoft YaHei UI" w:cs="Microsoft YaHei UI" w:eastAsia="Microsoft YaHei UI" w:hAnsi="Microsoft YaHei UI"/>
                <w:b/>
                <w:bCs/>
                <w:color w:val="152625"/>
                <w:sz w:val="22"/>
                <w:szCs w:val="22"/>
              </w:rPr>
              <w:t xml:space="preserve">特应性皮炎新型全年龄综合诊断工具的构建和评价。</w:t>
            </w:r>
          </w:p>
          <w:p>
            <w:pPr>
              <w:spacing w:after="0" w:before="0" w:line="320"/>
            </w:pPr>
            <w:r>
              <w:rPr>
                <w:rFonts w:ascii="Microsoft YaHei UI" w:cs="Microsoft YaHei UI" w:eastAsia="Microsoft YaHei UI" w:hAnsi="Microsoft YaHei UI"/>
                <w:color w:val="5F706E"/>
                <w:sz w:val="20"/>
                <w:szCs w:val="20"/>
              </w:rPr>
              <w:t xml:space="preserve">研究主题：特应性皮炎新型全年龄综合诊断工具的构建和评价。。</w:t>
            </w:r>
          </w:p>
          <w:p>
            <w:pPr>
              <w:spacing w:after="0" w:before="80"/>
            </w:pPr>
            <w:hyperlink w:history="1" r:id="rIdp2s8mmrlvs9vsccax9n-1">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2026-07-09</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宋志强｜陆军军医大学第一附属医院</w:t>
            </w:r>
          </w:p>
          <w:p>
            <w:pPr>
              <w:spacing w:after="70" w:before="0" w:line="340"/>
            </w:pPr>
            <w:r>
              <w:rPr>
                <w:rFonts w:ascii="Microsoft YaHei UI" w:cs="Microsoft YaHei UI" w:eastAsia="Microsoft YaHei UI" w:hAnsi="Microsoft YaHei UI"/>
                <w:b/>
                <w:bCs/>
                <w:color w:val="152625"/>
                <w:sz w:val="22"/>
                <w:szCs w:val="22"/>
              </w:rPr>
              <w:t xml:space="preserve">中度至重度特应性皮炎 24 周 abrocitinib 逐渐减少的真实结果：可行性和方案比较。</w:t>
            </w:r>
          </w:p>
          <w:p>
            <w:pPr>
              <w:spacing w:after="0" w:before="0" w:line="320"/>
            </w:pPr>
            <w:r>
              <w:rPr>
                <w:rFonts w:ascii="Microsoft YaHei UI" w:cs="Microsoft YaHei UI" w:eastAsia="Microsoft YaHei UI" w:hAnsi="Microsoft YaHei UI"/>
                <w:color w:val="5F706E"/>
                <w:sz w:val="20"/>
                <w:szCs w:val="20"/>
              </w:rPr>
              <w:t xml:space="preserve">研究主题：中度至重度特应性皮炎 24 周 abrocitinib 逐渐减少的真实结果：可行性和方案比较。。摘要要点：背景：有关 Janus 激酶抑制剂在中度至重度特应性皮炎 (AD) 中充分缓解后逐渐减量的可行性的证据仍然有限，并且尚未对逐渐减量方案进行头对头比较。目的：评估已获得足够缓解的中重度 AD 患者 24 周逐渐减量 abrocitinib 的可行性，并比较 2 种减量方法。方法：这项回顾性研究纳入了中度至重度 AD 患者，他们对 abrocitinib 取得了足够的临床反应，并通过减少剂量或延长间隔在 24 周内逐渐减量。结果：共纳入 78 例患者（36 例减少剂量，42 例延长间隔），其中 76 例（97.4%）成功减量。第 12 周和第 24 周的无复发率分别为 97.4% 和 91.0%。第 24 周时，平均累积剂量减少了 9892 毫克（6908 毫克 vs 标准 16,800 毫克），节省成本 2899.5 日元（2016.7 日元 vs 预计 4916.2 日元）。由于疾病波动，给药间隔延长的患者的策略转换率显着较高[28.6% (12/42) vs 8.3% (3/36)，P = .041]。局限性：单中心回顾性设计、样本量小、随访时间相对较短。结论：对于反应良好的中重度 AD 患者，24 周逐渐减量 abrocitinib 似乎是可行的，可减轻治疗负担，同时保持疗效。</w:t>
            </w:r>
          </w:p>
          <w:p>
            <w:pPr>
              <w:spacing w:after="0" w:before="80"/>
            </w:pPr>
            <w:hyperlink w:history="1" r:id="rIdhyckj2akz-d4skcddsxxs">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鲁索替尼磷酸盐 / ruxolitinib phosphate / C17H21N6O4P（30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乌帕替尼 / upadacitinib / C17H19F3N6O（28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度普利尤单抗 / dupilumab / 不适用：抗体/融合蛋白/大分子药物，分子量和糖基化等取决于序列与生产工艺（28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巴瑞替尼 / baricitinib / C16H17N7O2S（20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来布奇珠单抗 / lebrikizumab / 不适用：抗体/融合蛋白/大分子药物，分子量和糖基化等取决于序列与生产工艺（19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阿布昔替尼 / abrocitinib / C14H21N5O2S（17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罗氟司特 / roflumilast / C17H14Cl2F2N2O3（11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奈莫利珠单抗 / nemolizumab / 不适用：抗体/融合蛋白/大分子药物，分子量和糖基化等取决于序列与生产工艺（9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德戈替尼 / delgocitinib / C16H18N6O（6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曲洛利单抗 / tralokinumab / 不适用：抗体/融合蛋白/大分子药物，分子量和糖基化等取决于序列与生产工艺（6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严格排除滴眼液、移植等非皮肤外用剂型</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单独比较外用非激素、外用 JAK 和系统治疗</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更新轻中度 AD、敏感部位和长期管理的沟通要点</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爱宁达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se1tjqjkvnmbql09lmn1" Type="http://schemas.openxmlformats.org/officeDocument/2006/relationships/hyperlink" Target="https://clinicaltrials.gov/study/NCT07713186" TargetMode="External"/><Relationship Id="rIdqdv25imczi7-_vnvm5i12" Type="http://schemas.openxmlformats.org/officeDocument/2006/relationships/hyperlink" Target="https://clinicaltrials.gov/study/NCT07725822" TargetMode="External"/><Relationship Id="rIddqtugmonebhoojxoahoim" Type="http://schemas.openxmlformats.org/officeDocument/2006/relationships/hyperlink" Target="https://clinicaltrials.gov/study/NCT07265479" TargetMode="External"/><Relationship Id="rIdg4xbr4ipntqgdusylwwkh" Type="http://schemas.openxmlformats.org/officeDocument/2006/relationships/hyperlink" Target="https://clinicaltrials.gov/study/NCT06241118" TargetMode="External"/><Relationship Id="rId_9hgco7nz9ol4qc4nbrca" Type="http://schemas.openxmlformats.org/officeDocument/2006/relationships/hyperlink" Target="https://clinicaltrials.gov/study/NCT05735483" TargetMode="External"/><Relationship Id="rIdjbc6ovod0oppw5hdc_veb" Type="http://schemas.openxmlformats.org/officeDocument/2006/relationships/hyperlink" Target="https://clinicaltrials.gov/study/NCT05559359" TargetMode="External"/><Relationship Id="rIdvce5lesg93yunvplzvknc" Type="http://schemas.openxmlformats.org/officeDocument/2006/relationships/hyperlink" Target="https://clinicaltrials.gov/study/NCT07730788" TargetMode="External"/><Relationship Id="rIdrskkn2athhrquhjk6_npm" Type="http://schemas.openxmlformats.org/officeDocument/2006/relationships/hyperlink" Target="https://clinicaltrials.gov/study/NCT06807281" TargetMode="External"/><Relationship Id="rIdezs_pv-dfunnzhmoeuocm" Type="http://schemas.openxmlformats.org/officeDocument/2006/relationships/hyperlink" Target="https://pubmed.ncbi.nlm.nih.gov/42546583/" TargetMode="External"/><Relationship Id="rIdwno0p581use_k9tgwksa4" Type="http://schemas.openxmlformats.org/officeDocument/2006/relationships/hyperlink" Target="https://pubmed.ncbi.nlm.nih.gov/42480858/" TargetMode="External"/><Relationship Id="rIdp2s8mmrlvs9vsccax9n-1" Type="http://schemas.openxmlformats.org/officeDocument/2006/relationships/hyperlink" Target="https://pubmed.ncbi.nlm.nih.gov/42473174/" TargetMode="External"/><Relationship Id="rIdhyckj2akz-d4skcddsxxs" Type="http://schemas.openxmlformats.org/officeDocument/2006/relationships/hyperlink" Target="https://pubmed.ncbi.nlm.nih.gov/42423580/"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2026年7月爱宁达关注报告</dc:title>
  <dc:creator>Codex</dc:creator>
  <cp:lastModifiedBy>Un-named</cp:lastModifiedBy>
  <cp:revision>1</cp:revision>
  <dcterms:created xsi:type="dcterms:W3CDTF">2026-08-10T06:03:21.178Z</dcterms:created>
  <dcterms:modified xsi:type="dcterms:W3CDTF">2026-08-10T06:03:21.178Z</dcterms:modified>
</cp:coreProperties>
</file>

<file path=docProps/custom.xml><?xml version="1.0" encoding="utf-8"?>
<Properties xmlns="http://schemas.openxmlformats.org/officeDocument/2006/custom-properties" xmlns:vt="http://schemas.openxmlformats.org/officeDocument/2006/docPropsVTypes"/>
</file>