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0" w:line="340"/>
      </w:pPr>
      <w:r>
        <w:rPr>
          <w:rFonts w:ascii="Microsoft YaHei UI" w:cs="Microsoft YaHei UI" w:eastAsia="Microsoft YaHei UI" w:hAnsi="Microsoft YaHei UI"/>
          <w:b/>
          <w:bCs/>
          <w:color w:val="147D73"/>
          <w:sz w:val="20"/>
          <w:szCs w:val="20"/>
        </w:rPr>
        <w:t xml:space="preserve">MONTHLY PRODUCT INTELLIGENCE</w:t>
      </w:r>
    </w:p>
    <w:p>
      <w:pPr>
        <w:spacing w:after="120" w:before="0" w:line="340"/>
      </w:pPr>
      <w:r>
        <w:rPr>
          <w:rFonts w:ascii="Microsoft YaHei UI" w:cs="Microsoft YaHei UI" w:eastAsia="Microsoft YaHei UI" w:hAnsi="Microsoft YaHei UI"/>
          <w:b/>
          <w:bCs/>
          <w:color w:val="0B5C55"/>
          <w:sz w:val="40"/>
          <w:szCs w:val="40"/>
        </w:rPr>
        <w:t xml:space="preserve">利加隆｜2026年7月关注报告</w:t>
      </w:r>
    </w:p>
    <w:p>
      <w:pPr>
        <w:spacing w:after="360" w:before="0" w:line="340"/>
      </w:pPr>
      <w:r>
        <w:rPr>
          <w:rFonts w:ascii="Microsoft YaHei UI" w:cs="Microsoft YaHei UI" w:eastAsia="Microsoft YaHei UI" w:hAnsi="Microsoft YaHei UI"/>
          <w:color w:val="5F706E"/>
          <w:sz w:val="22"/>
          <w:szCs w:val="22"/>
        </w:rPr>
        <w:t xml:space="preserve">2026-07-01 至 2026-07-31</w:t>
      </w:r>
    </w:p>
    <w:tbl>
      <w:tblPr>
        <w:tblW w:type="dxa" w:w="10000"/>
        <w:tblBorders>
          <w:top w:val="none"/>
          <w:left w:val="none"/>
          <w:bottom w:val="none"/>
          <w:right w:val="none"/>
          <w:insideH w:val="none"/>
          <w:insideV w:val="single" w:color="FFFFFF" w:sz="8"/>
        </w:tblBorders>
      </w:tblPr>
      <w:tblGrid>
        <w:gridCol w:w="2000"/>
        <w:gridCol w:w="2000"/>
        <w:gridCol w:w="2000"/>
        <w:gridCol w:w="2000"/>
        <w:gridCol w:w="2000"/>
      </w:tblGrid>
      <w:tr>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134</w:t>
            </w:r>
          </w:p>
          <w:p>
            <w:pPr>
              <w:spacing w:after="0" w:before="0" w:line="340"/>
              <w:jc w:val="center"/>
            </w:pPr>
            <w:r>
              <w:rPr>
                <w:rFonts w:ascii="Microsoft YaHei UI" w:cs="Microsoft YaHei UI" w:eastAsia="Microsoft YaHei UI" w:hAnsi="Microsoft YaHei UI"/>
                <w:color w:val="5F706E"/>
                <w:sz w:val="19"/>
                <w:szCs w:val="19"/>
              </w:rPr>
              <w:t xml:space="preserve">有效进展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51</w:t>
            </w:r>
          </w:p>
          <w:p>
            <w:pPr>
              <w:spacing w:after="0" w:before="0" w:line="340"/>
              <w:jc w:val="center"/>
            </w:pPr>
            <w:r>
              <w:rPr>
                <w:rFonts w:ascii="Microsoft YaHei UI" w:cs="Microsoft YaHei UI" w:eastAsia="Microsoft YaHei UI" w:hAnsi="Microsoft YaHei UI"/>
                <w:color w:val="5F706E"/>
                <w:sz w:val="19"/>
                <w:szCs w:val="19"/>
              </w:rPr>
              <w:t xml:space="preserve">建议跟进</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23</w:t>
            </w:r>
          </w:p>
          <w:p>
            <w:pPr>
              <w:spacing w:after="0" w:before="0" w:line="340"/>
              <w:jc w:val="center"/>
            </w:pPr>
            <w:r>
              <w:rPr>
                <w:rFonts w:ascii="Microsoft YaHei UI" w:cs="Microsoft YaHei UI" w:eastAsia="Microsoft YaHei UI" w:hAnsi="Microsoft YaHei UI"/>
                <w:color w:val="5F706E"/>
                <w:sz w:val="19"/>
                <w:szCs w:val="19"/>
              </w:rPr>
              <w:t xml:space="preserve">高证据</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2</w:t>
            </w:r>
          </w:p>
          <w:p>
            <w:pPr>
              <w:spacing w:after="0" w:before="0" w:line="340"/>
              <w:jc w:val="center"/>
            </w:pPr>
            <w:r>
              <w:rPr>
                <w:rFonts w:ascii="Microsoft YaHei UI" w:cs="Microsoft YaHei UI" w:eastAsia="Microsoft YaHei UI" w:hAnsi="Microsoft YaHei UI"/>
                <w:color w:val="5F706E"/>
                <w:sz w:val="19"/>
                <w:szCs w:val="19"/>
              </w:rPr>
              <w:t xml:space="preserve">KOL记录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2</w:t>
            </w:r>
          </w:p>
          <w:p>
            <w:pPr>
              <w:spacing w:after="0" w:before="0" w:line="340"/>
              <w:jc w:val="center"/>
            </w:pPr>
            <w:r>
              <w:rPr>
                <w:rFonts w:ascii="Microsoft YaHei UI" w:cs="Microsoft YaHei UI" w:eastAsia="Microsoft YaHei UI" w:hAnsi="Microsoft YaHei UI"/>
                <w:color w:val="5F706E"/>
                <w:sz w:val="19"/>
                <w:szCs w:val="19"/>
              </w:rPr>
              <w:t xml:space="preserve">涉及专家</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管理层摘要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750"/>
        <w:gridCol w:w="8250"/>
      </w:tblGrid>
      <w:tr>
        <w:tc>
          <w:tcPr>
            <w:tcW w:type="dxa" w:w="1750"/>
            <w:shd w:fill="DDF1EC"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一句话结论</w:t>
            </w:r>
          </w:p>
        </w:tc>
        <w:tc>
          <w:tcPr>
            <w:tcW w:type="dxa" w:w="8250"/>
            <w:shd w:fill="F2FAF8"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2026年7月利加隆最值得注意的是：护肝竞争从传统保肝药比较延伸到代谢性肝病、抗纤维化和体重管理相关路径。</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发生了什么</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本月纳入 134 条有效产品/竞品进展，其中 51 条建议跟进、23 条为高证据。优先记录包括《乙酰半胱氨酸相关 ClinicalTrials.gov 临床研究更新（NCT07737262）》、《瑞司美替罗相关 ClinicalTrials.gov 临床研究更新（NCT07680478）》。</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为什么关注</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MASH/NAFLD 和代谢治疗的进展会改变患者管理重点，也会影响利加隆在肝损伤与长期肝病管理中的证据表达。</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建议动作</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区分药物性肝损伤、病毒性肝炎和代谢性肝病证据；跟踪抗纤维化及 GLP-1 相关肝脏终点；更新利加隆与直接、间接竞品的证据对照。</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本月重点更新</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5400"/>
        <w:gridCol w:w="3150"/>
      </w:tblGrid>
      <w:tr>
        <w:trPr>
          <w:tblHeader/>
        </w:trPr>
        <w:tc>
          <w:tcPr>
            <w:tcW w:type="dxa" w:w="14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日期 / 来源</w:t>
            </w:r>
          </w:p>
        </w:tc>
        <w:tc>
          <w:tcPr>
            <w:tcW w:type="dxa" w:w="540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研究或事件</w:t>
            </w:r>
          </w:p>
        </w:tc>
        <w:tc>
          <w:tcPr>
            <w:tcW w:type="dxa" w:w="31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判断与动作</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2026-07-30</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乙酰半胱氨酸相关 ClinicalTrials.gov 临床研究更新（NCT07737262）</w:t>
            </w:r>
          </w:p>
          <w:p>
            <w:pPr>
              <w:spacing w:after="0" w:before="0" w:line="320"/>
            </w:pPr>
            <w:r>
              <w:rPr>
                <w:rFonts w:ascii="Microsoft YaHei UI" w:cs="Microsoft YaHei UI" w:eastAsia="Microsoft YaHei UI" w:hAnsi="Microsoft YaHei UI"/>
                <w:color w:val="5F706E"/>
                <w:sz w:val="20"/>
                <w:szCs w:val="20"/>
              </w:rPr>
              <w:t xml:space="preserve">ClinicalTrials.gov 研究：预防性 不适用C 可改善严重再生障碍性贫血患者单倍体移植后的血小板植入；NCT：NCT07737262；状态：尚未招募；阶段：3期；适应症/疾病：再生障碍性贫血；首次发布：2026-07-30；最近更新：2026-07-30。</w:t>
            </w:r>
          </w:p>
          <w:p>
            <w:pPr>
              <w:spacing w:after="0" w:before="80"/>
            </w:pPr>
            <w:hyperlink w:history="1" r:id="rIdtre-zurrqut1e6bcw_pv8">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直接竞品；乙酰半胱氨酸</w:t>
            </w:r>
          </w:p>
          <w:p>
            <w:pPr>
              <w:spacing w:after="0" w:before="0" w:line="320"/>
            </w:pPr>
            <w:r>
              <w:rPr>
                <w:rFonts w:ascii="Microsoft YaHei UI" w:cs="Microsoft YaHei UI" w:eastAsia="Microsoft YaHei UI" w:hAnsi="Microsoft YaHei UI"/>
                <w:color w:val="152625"/>
                <w:sz w:val="20"/>
                <w:szCs w:val="20"/>
              </w:rPr>
              <w:t xml:space="preserve">药物性肝损伤等场景；建议查看研究设计、入排标准和终点，判断对利加隆或同机制竞品监测的影响。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2026-07-02</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瑞司美替罗相关 ClinicalTrials.gov 临床研究更新（NCT07680478）</w:t>
            </w:r>
          </w:p>
          <w:p>
            <w:pPr>
              <w:spacing w:after="0" w:before="0" w:line="320"/>
            </w:pPr>
            <w:r>
              <w:rPr>
                <w:rFonts w:ascii="Microsoft YaHei UI" w:cs="Microsoft YaHei UI" w:eastAsia="Microsoft YaHei UI" w:hAnsi="Microsoft YaHei UI"/>
                <w:color w:val="5F706E"/>
                <w:sz w:val="20"/>
                <w:szCs w:val="20"/>
              </w:rPr>
              <w:t xml:space="preserve">ClinicalTrials.gov 研究：营养干预联合瑞斯美隆治疗 MASH；NCT：NCT07680478；状态：尚未招募；阶段：4期；适应症/疾病：代谢功能障碍相关脂肪性肝炎 (MASH)；首次发布：2026-07-02；最近更新：2026-07-06。</w:t>
            </w:r>
          </w:p>
          <w:p>
            <w:pPr>
              <w:spacing w:after="0" w:before="80"/>
            </w:pPr>
            <w:hyperlink w:history="1" r:id="rIdbpxuwhp92t94hleumqgcp">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潜在竞品；Rezdiffra</w:t>
            </w:r>
          </w:p>
          <w:p>
            <w:pPr>
              <w:spacing w:after="0" w:before="0" w:line="320"/>
            </w:pPr>
            <w:r>
              <w:rPr>
                <w:rFonts w:ascii="Microsoft YaHei UI" w:cs="Microsoft YaHei UI" w:eastAsia="Microsoft YaHei UI" w:hAnsi="Microsoft YaHei UI"/>
                <w:color w:val="152625"/>
                <w:sz w:val="20"/>
                <w:szCs w:val="20"/>
              </w:rPr>
              <w:t xml:space="preserve">MASH/NASH 疾病修饰治疗；建议查看研究设计、入排标准和终点，判断对利加隆或同机制竞品监测的影响。</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2026-07-24</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乙酰半胱氨酸相关 ClinicalTrials.gov 临床研究更新（NCT02719392）</w:t>
            </w:r>
          </w:p>
          <w:p>
            <w:pPr>
              <w:spacing w:after="0" w:before="0" w:line="320"/>
            </w:pPr>
            <w:r>
              <w:rPr>
                <w:rFonts w:ascii="Microsoft YaHei UI" w:cs="Microsoft YaHei UI" w:eastAsia="Microsoft YaHei UI" w:hAnsi="Microsoft YaHei UI"/>
                <w:color w:val="5F706E"/>
                <w:sz w:val="20"/>
                <w:szCs w:val="20"/>
              </w:rPr>
              <w:t xml:space="preserve">ClinicalTrials.gov 研究：米诺环素和 N-乙酰半胱氨酸治疗双相抑郁症疗效的初步研究；NCT：NCT02719392；状态：已撤回；阶段：4期；适应症/疾病：双相情感障碍；双相抑郁症；首次发布：2016-03-25；最近更新：2026-07-24。</w:t>
            </w:r>
          </w:p>
          <w:p>
            <w:pPr>
              <w:spacing w:after="0" w:before="80"/>
            </w:pPr>
            <w:hyperlink w:history="1" r:id="rIdf6djmtlfdxwslx-1vujjj">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直接竞品；乙酰半胱氨酸</w:t>
            </w:r>
          </w:p>
          <w:p>
            <w:pPr>
              <w:spacing w:after="0" w:before="0" w:line="320"/>
            </w:pPr>
            <w:r>
              <w:rPr>
                <w:rFonts w:ascii="Microsoft YaHei UI" w:cs="Microsoft YaHei UI" w:eastAsia="Microsoft YaHei UI" w:hAnsi="Microsoft YaHei UI"/>
                <w:color w:val="152625"/>
                <w:sz w:val="20"/>
                <w:szCs w:val="20"/>
              </w:rPr>
              <w:t xml:space="preserve">药物性肝损伤等场景；建议查看研究设计、入排标准和终点，判断对利加隆或同机制竞品监测的影响。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2026-07-23</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9A5D15"/>
                <w:sz w:val="18"/>
                <w:szCs w:val="18"/>
              </w:rPr>
              <w:t xml:space="preserve">中证据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还原型谷胱甘肽相关 ClinicalTrials.gov 临床研究更新（NCT07724067）</w:t>
            </w:r>
          </w:p>
          <w:p>
            <w:pPr>
              <w:spacing w:after="0" w:before="0" w:line="320"/>
            </w:pPr>
            <w:r>
              <w:rPr>
                <w:rFonts w:ascii="Microsoft YaHei UI" w:cs="Microsoft YaHei UI" w:eastAsia="Microsoft YaHei UI" w:hAnsi="Microsoft YaHei UI"/>
                <w:color w:val="5F706E"/>
                <w:sz w:val="20"/>
                <w:szCs w:val="20"/>
              </w:rPr>
              <w:t xml:space="preserve">ClinicalTrials.gov 研究：GLUT-F 改善 MASLD 肝功能；NCT：NCT07724067；状态：已完成；阶段：不适用；适应症/疾病：MASLD（代谢功能障碍相关的脂肪肝病）；首次发布：2026-07-23；最近更新：2026-07-23。</w:t>
            </w:r>
          </w:p>
          <w:p>
            <w:pPr>
              <w:spacing w:after="0" w:before="80"/>
            </w:pPr>
            <w:hyperlink w:history="1" r:id="rIdy50d_wz9v0pmwv9xnsi9z">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直接竞品；谷胱甘肽</w:t>
            </w:r>
          </w:p>
          <w:p>
            <w:pPr>
              <w:spacing w:after="0" w:before="0" w:line="320"/>
            </w:pPr>
            <w:r>
              <w:rPr>
                <w:rFonts w:ascii="Microsoft YaHei UI" w:cs="Microsoft YaHei UI" w:eastAsia="Microsoft YaHei UI" w:hAnsi="Microsoft YaHei UI"/>
                <w:color w:val="152625"/>
                <w:sz w:val="20"/>
                <w:szCs w:val="20"/>
              </w:rPr>
              <w:t xml:space="preserve">保肝抗氧化替代；建议查看研究设计、入排标准和终点，判断对利加隆或同机制竞品监测的影响。</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2026-07-21</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9A5D15"/>
                <w:sz w:val="18"/>
                <w:szCs w:val="18"/>
              </w:rPr>
              <w:t xml:space="preserve">中证据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熊去氧胆酸相关 ClinicalTrials.gov 临床研究更新（NCT07717242）</w:t>
            </w:r>
          </w:p>
          <w:p>
            <w:pPr>
              <w:spacing w:after="0" w:before="0" w:line="320"/>
            </w:pPr>
            <w:r>
              <w:rPr>
                <w:rFonts w:ascii="Microsoft YaHei UI" w:cs="Microsoft YaHei UI" w:eastAsia="Microsoft YaHei UI" w:hAnsi="Microsoft YaHei UI"/>
                <w:color w:val="5F706E"/>
                <w:sz w:val="20"/>
                <w:szCs w:val="20"/>
              </w:rPr>
              <w:t xml:space="preserve">ClinicalTrials.gov 研究：孙中山增强肌层浸润性膀胱癌反应的治疗策略；NCT：NCT07717242；状态：招募中；阶段：2期；适应症/疾病：膀胱尿路上皮癌；膀胱癌；首次发布：2026-07-21；最近更新：2026-07-21。</w:t>
            </w:r>
          </w:p>
          <w:p>
            <w:pPr>
              <w:spacing w:after="0" w:before="80"/>
            </w:pPr>
            <w:hyperlink w:history="1" r:id="rIdwbo0dmep0xsgzkz6wpycd">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直接竞品；优思弗</w:t>
            </w:r>
          </w:p>
          <w:p>
            <w:pPr>
              <w:spacing w:after="0" w:before="0" w:line="320"/>
            </w:pPr>
            <w:r>
              <w:rPr>
                <w:rFonts w:ascii="Microsoft YaHei UI" w:cs="Microsoft YaHei UI" w:eastAsia="Microsoft YaHei UI" w:hAnsi="Microsoft YaHei UI"/>
                <w:color w:val="152625"/>
                <w:sz w:val="20"/>
                <w:szCs w:val="20"/>
              </w:rPr>
              <w:t xml:space="preserve">胆汁淤积和肝胆疾病替代；建议查看研究设计、入排标准和终点，判断对利加隆或同机制竞品监测的影响。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2026-07-17</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9A5D15"/>
                <w:sz w:val="18"/>
                <w:szCs w:val="18"/>
              </w:rPr>
              <w:t xml:space="preserve">中证据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乙酰半胱氨酸相关 ClinicalTrials.gov 临床研究更新（NCT07712016）</w:t>
            </w:r>
          </w:p>
          <w:p>
            <w:pPr>
              <w:spacing w:after="0" w:before="0" w:line="320"/>
            </w:pPr>
            <w:r>
              <w:rPr>
                <w:rFonts w:ascii="Microsoft YaHei UI" w:cs="Microsoft YaHei UI" w:eastAsia="Microsoft YaHei UI" w:hAnsi="Microsoft YaHei UI"/>
                <w:color w:val="5F706E"/>
                <w:sz w:val="20"/>
                <w:szCs w:val="20"/>
              </w:rPr>
              <w:t xml:space="preserve">ClinicalTrials.gov 研究：慢性阻塞性肺疾病中肺癌诊断后粘液活性剂的使用和临床结果；NCT：NCT07712016；状态：活跃，已停止招募；阶段：不适用；适应症/疾病：肺癌（诊断）；慢性阻塞性肺疾病（COPD）；首次发布：2026-07-17；最近更新：2026-07-21。</w:t>
            </w:r>
          </w:p>
          <w:p>
            <w:pPr>
              <w:spacing w:after="0" w:before="80"/>
            </w:pPr>
            <w:hyperlink w:history="1" r:id="rIdkbd1jemqruuh4zir-evmv">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直接竞品；乙酰半胱氨酸</w:t>
            </w:r>
          </w:p>
          <w:p>
            <w:pPr>
              <w:spacing w:after="0" w:before="0" w:line="320"/>
            </w:pPr>
            <w:r>
              <w:rPr>
                <w:rFonts w:ascii="Microsoft YaHei UI" w:cs="Microsoft YaHei UI" w:eastAsia="Microsoft YaHei UI" w:hAnsi="Microsoft YaHei UI"/>
                <w:color w:val="152625"/>
                <w:sz w:val="20"/>
                <w:szCs w:val="20"/>
              </w:rPr>
              <w:t xml:space="preserve">药物性肝损伤等场景；建议查看研究设计、入排标准和终点，判断对利加隆或同机制竞品监测的影响。</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2026-07-10</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乙酰半胱氨酸相关 ClinicalTrials.gov 临床研究更新（NCT07409727）</w:t>
            </w:r>
          </w:p>
          <w:p>
            <w:pPr>
              <w:spacing w:after="0" w:before="0" w:line="320"/>
            </w:pPr>
            <w:r>
              <w:rPr>
                <w:rFonts w:ascii="Microsoft YaHei UI" w:cs="Microsoft YaHei UI" w:eastAsia="Microsoft YaHei UI" w:hAnsi="Microsoft YaHei UI"/>
                <w:color w:val="5F706E"/>
                <w:sz w:val="20"/>
                <w:szCs w:val="20"/>
              </w:rPr>
              <w:t xml:space="preserve">ClinicalTrials.gov 研究：吸入乙酰半胱氨酸对危重机械通气患者发生呼吸机相关肺炎的发生率和时间的影响；NCT：NCT07409727；状态：招募中；阶段：4期；适应症/疾病：通气获得性肺炎；首次发布：2026-02-13；最近更新：2026-07-10。</w:t>
            </w:r>
          </w:p>
          <w:p>
            <w:pPr>
              <w:spacing w:after="0" w:before="80"/>
            </w:pPr>
            <w:hyperlink w:history="1" r:id="rIdbluavx7lmillqlixf8419">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直接竞品；乙酰半胱氨酸</w:t>
            </w:r>
          </w:p>
          <w:p>
            <w:pPr>
              <w:spacing w:after="0" w:before="0" w:line="320"/>
            </w:pPr>
            <w:r>
              <w:rPr>
                <w:rFonts w:ascii="Microsoft YaHei UI" w:cs="Microsoft YaHei UI" w:eastAsia="Microsoft YaHei UI" w:hAnsi="Microsoft YaHei UI"/>
                <w:color w:val="152625"/>
                <w:sz w:val="20"/>
                <w:szCs w:val="20"/>
              </w:rPr>
              <w:t xml:space="preserve">药物性肝损伤等场景；建议查看研究设计、入排标准和终点，判断对利加隆或同机制竞品监测的影响。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2026-07-09</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熊去氧胆酸相关 ClinicalTrials.gov 临床研究更新（NCT06383403）</w:t>
            </w:r>
          </w:p>
          <w:p>
            <w:pPr>
              <w:spacing w:after="0" w:before="0" w:line="320"/>
            </w:pPr>
            <w:r>
              <w:rPr>
                <w:rFonts w:ascii="Microsoft YaHei UI" w:cs="Microsoft YaHei UI" w:eastAsia="Microsoft YaHei UI" w:hAnsi="Microsoft YaHei UI"/>
                <w:color w:val="5F706E"/>
                <w:sz w:val="20"/>
                <w:szCs w:val="20"/>
              </w:rPr>
              <w:t xml:space="preserve">ClinicalTrials.gov 研究：Elafibranor 在原发性胆汁性胆管炎和对熊去氧胆酸反应不足或不耐受的成人中的研究。；NCT：NCT06383403；状态：已完成；阶段：3期；适应症/疾病：原发性胆汁性胆管炎；首次发布：2024-04-25；最近更新：2026-07-09。</w:t>
            </w:r>
          </w:p>
          <w:p>
            <w:pPr>
              <w:spacing w:after="0" w:before="80"/>
            </w:pPr>
            <w:hyperlink w:history="1" r:id="rIdzflpixarqsmmrkspzgqyf">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直接竞品；优思弗</w:t>
            </w:r>
          </w:p>
          <w:p>
            <w:pPr>
              <w:spacing w:after="0" w:before="0" w:line="320"/>
            </w:pPr>
            <w:r>
              <w:rPr>
                <w:rFonts w:ascii="Microsoft YaHei UI" w:cs="Microsoft YaHei UI" w:eastAsia="Microsoft YaHei UI" w:hAnsi="Microsoft YaHei UI"/>
                <w:color w:val="152625"/>
                <w:sz w:val="20"/>
                <w:szCs w:val="20"/>
              </w:rPr>
              <w:t xml:space="preserve">胆汁淤积和肝胆疾病替代；建议查看研究设计、入排标准和终点，判断对利加隆或同机制竞品监测的影响。</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KOL / 专家动态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8550"/>
      </w:tblGrid>
      <w:tr>
        <w:trPr>
          <w:cantSplit/>
        </w:trPr>
        <w:tc>
          <w:tcPr>
            <w:tcW w:type="dxa" w:w="1450"/>
            <w:shd w:fill="FFFFFF"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2026-07-15</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FFFFF"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沈锡中｜复旦大学附属中山医院</w:t>
            </w:r>
          </w:p>
          <w:p>
            <w:pPr>
              <w:spacing w:after="70" w:before="0" w:line="340"/>
            </w:pPr>
            <w:r>
              <w:rPr>
                <w:rFonts w:ascii="Microsoft YaHei UI" w:cs="Microsoft YaHei UI" w:eastAsia="Microsoft YaHei UI" w:hAnsi="Microsoft YaHei UI"/>
                <w:b/>
                <w:bCs/>
                <w:color w:val="152625"/>
                <w:sz w:val="22"/>
                <w:szCs w:val="22"/>
              </w:rPr>
              <w:t xml:space="preserve">幽门螺杆菌通过消除女性肠道酸性拟杆菌的保护作用来促进肝癌的发生。</w:t>
            </w:r>
          </w:p>
          <w:p>
            <w:pPr>
              <w:spacing w:after="0" w:before="0" w:line="320"/>
            </w:pPr>
            <w:r>
              <w:rPr>
                <w:rFonts w:ascii="Microsoft YaHei UI" w:cs="Microsoft YaHei UI" w:eastAsia="Microsoft YaHei UI" w:hAnsi="Microsoft YaHei UI"/>
                <w:color w:val="5F706E"/>
                <w:sz w:val="20"/>
                <w:szCs w:val="20"/>
              </w:rPr>
              <w:t xml:space="preserve">研究主题：幽门螺杆菌通过消除女性肠道酸性拟杆菌的保护作用来促进肝癌的发生。。摘要要点：背景：肝细胞癌（HCC）表现出性别二态性，女性发病率较低。然而，破坏这种保护作用的机制仍不清楚。幽门螺杆菌 (Hp) 与 HCC 相关，可导致肠道微生物群失衡，从而促进 HCC 进展。本研究探讨了 Hp 如何通过肠-肝轴影响女性对 HCC 的易感性，重点关注肠道细菌及其代谢物。方法：建立Hp感染的DEN+CCl4诱导的HCC小鼠模型，并对186例HCC患者进行分析。采用粪便宏基因组学和血清代谢组学来鉴定 Hp 反应性肠道微生物和代谢物。在小鼠模型和基于细胞的机械测定中评估了产酸拟杆菌 (Ba) 及其代谢物 4-羟基苯甲醇 (4-HBA) 单独或与 Hp 根除联合的治疗潜力。结果：Hp 增加了肿瘤负荷和纤维化，尤其是雌性小鼠。与 Hp 阴性女性相比，Hp 阳性女性患者表现出更大的肿瘤、更晚期的疾病阶段、更高的肝硬化发病率和更差的总生存期。Hp 还降低了肠道微生物群的多样性，并减少了富含女性的 Ba。Ba 特异性代谢物 4-HBA 在女性中较高，并因 Hp 降低而减少，通过与 TGFBR2 结合抑制 TGF-β/SMAD 信号传导，从而抑制肝星状细胞活化和 HCC 细胞增殖。Ba/4-HBA 减轻了两性 Hp 引起的肝脏病理，在女性中，根除 Hp 和 Ba/4-HBA 联合治疗比单独根除更有效。</w:t>
            </w:r>
          </w:p>
          <w:p>
            <w:pPr>
              <w:spacing w:after="0" w:before="80"/>
            </w:pPr>
            <w:hyperlink w:history="1" r:id="rIdyxmftahboetllzy5bwk16">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5F8F7"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2026-07-08</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5F8F7"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郑昕｜华中科技大学同济医学院附属协和医院</w:t>
            </w:r>
          </w:p>
          <w:p>
            <w:pPr>
              <w:spacing w:after="70" w:before="0" w:line="340"/>
            </w:pPr>
            <w:r>
              <w:rPr>
                <w:rFonts w:ascii="Microsoft YaHei UI" w:cs="Microsoft YaHei UI" w:eastAsia="Microsoft YaHei UI" w:hAnsi="Microsoft YaHei UI"/>
                <w:b/>
                <w:bCs/>
                <w:color w:val="152625"/>
                <w:sz w:val="22"/>
                <w:szCs w:val="22"/>
              </w:rPr>
              <w:t xml:space="preserve">代谢相关的脂肪肝疾病诱导肝细胞凋亡以消除乙型肝炎病毒。</w:t>
            </w:r>
          </w:p>
          <w:p>
            <w:pPr>
              <w:spacing w:after="0" w:before="0" w:line="320"/>
            </w:pPr>
            <w:r>
              <w:rPr>
                <w:rFonts w:ascii="Microsoft YaHei UI" w:cs="Microsoft YaHei UI" w:eastAsia="Microsoft YaHei UI" w:hAnsi="Microsoft YaHei UI"/>
                <w:color w:val="5F706E"/>
                <w:sz w:val="20"/>
                <w:szCs w:val="20"/>
              </w:rPr>
              <w:t xml:space="preserve">研究主题：代谢相关的脂肪肝疾病诱导肝细胞凋亡以消除乙型肝炎病毒。。摘要要点：背景与目的：随着慢性乙型肝炎（CHB）合并代谢功能障碍相关脂肪肝病（MAFLD）的患病率不断上升，迫切需要深入研究MAFLD对CHB的影响和机制。先前的研究报道，同时患有 CHB 和 MAFLD 的患者表现出较低水平的乙型肝炎病毒 (HBV) 复制；然而，潜在的机制基础仍不清楚。越来越多的证据表明，诱导细胞凋亡是清除 HBV 的关键机制。因此，脂毒性诱导的肝细胞凋亡是否对加速乙型肝炎消除有显着贡献仍有待确定。研究脂肪酸对 HepG2.2.15 细胞中乙型肝炎病毒的作用及其潜在机制。方法：使用人类肝脏转录组数据来分析患有 MAFLD 的 CHB 患者与仅患有 CHB 的患者相比的生物学变化。在体外，棕榈酸（PA）用于模拟HepG2.2.15细胞的脂毒性，油酸（OA）用于逆转PA的作用。采用ELISA和PCR检测细胞上清液和裂解液中HBsAg、HBeAg和HBV-DNA的水平。通过评估线粒体膜通透性、氧化应激和细胞凋亡，研究 PA 对 HepG2.2.15 细胞影响的潜在机制。结果：人类肝脏转录组富集分析显示，在患有 CHB 和 MASH 的患者中，细胞凋亡相关通路上调，线粒体/氧化还原基因下调。细胞实验表明，PA 降低了 HepG2.2.15 细胞上清液和裂解液中 HBsAg、HBeAg 和 HBV-DNA 的水平。</w:t>
            </w:r>
          </w:p>
          <w:p>
            <w:pPr>
              <w:spacing w:after="0" w:before="80"/>
            </w:pPr>
            <w:hyperlink w:history="1" r:id="rIdzedxpqwv3fnkri_2iaptw">
              <w:r>
                <w:rPr>
                  <w:rFonts w:ascii="Microsoft YaHei UI" w:cs="Microsoft YaHei UI" w:eastAsia="Microsoft YaHei UI" w:hAnsi="Microsoft YaHei UI"/>
                  <w:color w:val="1B6CA8"/>
                  <w:sz w:val="18"/>
                  <w:szCs w:val="18"/>
                  <w:u w:val="single"/>
                </w:rPr>
                <w:t xml:space="preserve">打开原始来源</w:t>
              </w:r>
            </w:hyperlink>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涉及分子 / 靶点</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乙酰半胱氨酸 / acetylcysteine / C5H9NO3S（28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司美格鲁肽 / semaglutide / C187H291N45O59（27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还原型谷胱甘肽 / glutathione / C10H17N3O6S（19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水飞蓟素/水飞蓟宾代表成分 / silymarin / silybin / C25H22O10（17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熊去氧胆酸 / ursodeoxycholic acid / C24H40O4（12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瑞司美替罗 / resmetirom / C17H12Cl2N6O4（12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奥贝胆酸 / obeticholic acid / C26H44O4（7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甘草酸 / glycyrrhizic acid / C42H62O16（6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水飞蓟宾 / silybin / C25H22O10（3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拉尼菲布拉诺 / lanifibranor / C19H15ClN2O4S2（2 条）</w:t>
      </w:r>
    </w:p>
    <w:p>
      <w:pPr>
        <w:pStyle w:val="Heading1"/>
        <w:keepNext/>
        <w:spacing w:after="160" w:before="300" w:line="340"/>
      </w:pPr>
      <w:r>
        <w:rPr>
          <w:rFonts w:ascii="Microsoft YaHei UI" w:cs="Microsoft YaHei UI" w:eastAsia="Microsoft YaHei UI" w:hAnsi="Microsoft YaHei UI"/>
          <w:color w:val="152625"/>
          <w:sz w:val="22"/>
          <w:szCs w:val="22"/>
        </w:rPr>
        <w:t xml:space="preserve">建议跟进</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区分药物性肝损伤、病毒性肝炎和代谢性肝病证据</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跟踪抗纤维化及 GLP-1 相关肝脏终点</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更新利加隆与直接、间接竞品的证据对照</w:t>
      </w:r>
    </w:p>
    <w:sectPr>
      <w:headerReference w:type="default" r:id="rId7"/>
      <w:footerReference w:type="default" r:id="rId8"/>
      <w:pgSz w:w="11906" w:h="16838" w:orient="portrait"/>
      <w:pgMar w:top="1150" w:right="950" w:bottom="105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UI" w:cs="Microsoft YaHei UI" w:eastAsia="Microsoft YaHei UI" w:hAnsi="Microsoft YaHei UI"/>
        <w:color w:val="5F706E"/>
        <w:sz w:val="17"/>
        <w:szCs w:val="17"/>
      </w:rPr>
      <w:t xml:space="preserve">内部工作材料 ·</w:t>
    </w:r>
    <w:r>
      <w:rPr>
        <w:rFonts w:ascii="Microsoft YaHei UI" w:cs="Microsoft YaHei UI" w:eastAsia="Microsoft YaHei UI" w:hAnsi="Microsoft YaHei UI"/>
        <w:color w:val="5F706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40"/>
      <w:jc w:val="right"/>
    </w:pPr>
    <w:r>
      <w:rPr>
        <w:rFonts w:ascii="Microsoft YaHei UI" w:cs="Microsoft YaHei UI" w:eastAsia="Microsoft YaHei UI" w:hAnsi="Microsoft YaHei UI"/>
        <w:color w:val="5F706E"/>
        <w:sz w:val="17"/>
        <w:szCs w:val="17"/>
      </w:rPr>
      <w:t xml:space="preserve">利加隆 | 2026年7月产品情报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UI" w:cs="Microsoft YaHei UI" w:eastAsia="Microsoft YaHei UI" w:hAnsi="Microsoft YaHei UI"/>
        <w:color w:val="152625"/>
        <w:sz w:val="22"/>
        <w:szCs w:val="22"/>
      </w:rPr>
    </w:rPrDefault>
    <w:pPrDefault>
      <w:pPr>
        <w:spacing w:after="12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pPr>
    <w:rPr>
      <w:rFonts w:ascii="Microsoft YaHei UI" w:cs="Microsoft YaHei UI" w:eastAsia="Microsoft YaHei UI" w:hAnsi="Microsoft YaHei UI"/>
      <w:b/>
      <w:bCs/>
      <w:color w:val="0B5C5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re-zurrqut1e6bcw_pv8" Type="http://schemas.openxmlformats.org/officeDocument/2006/relationships/hyperlink" Target="https://clinicaltrials.gov/study/NCT07737262" TargetMode="External"/><Relationship Id="rIdbpxuwhp92t94hleumqgcp" Type="http://schemas.openxmlformats.org/officeDocument/2006/relationships/hyperlink" Target="https://clinicaltrials.gov/study/NCT07680478" TargetMode="External"/><Relationship Id="rIdf6djmtlfdxwslx-1vujjj" Type="http://schemas.openxmlformats.org/officeDocument/2006/relationships/hyperlink" Target="https://clinicaltrials.gov/study/NCT02719392" TargetMode="External"/><Relationship Id="rIdy50d_wz9v0pmwv9xnsi9z" Type="http://schemas.openxmlformats.org/officeDocument/2006/relationships/hyperlink" Target="https://clinicaltrials.gov/study/NCT07724067" TargetMode="External"/><Relationship Id="rIdwbo0dmep0xsgzkz6wpycd" Type="http://schemas.openxmlformats.org/officeDocument/2006/relationships/hyperlink" Target="https://clinicaltrials.gov/study/NCT07717242" TargetMode="External"/><Relationship Id="rIdkbd1jemqruuh4zir-evmv" Type="http://schemas.openxmlformats.org/officeDocument/2006/relationships/hyperlink" Target="https://clinicaltrials.gov/study/NCT07712016" TargetMode="External"/><Relationship Id="rIdbluavx7lmillqlixf8419" Type="http://schemas.openxmlformats.org/officeDocument/2006/relationships/hyperlink" Target="https://clinicaltrials.gov/study/NCT07409727" TargetMode="External"/><Relationship Id="rIdzflpixarqsmmrkspzgqyf" Type="http://schemas.openxmlformats.org/officeDocument/2006/relationships/hyperlink" Target="https://clinicaltrials.gov/study/NCT06383403" TargetMode="External"/><Relationship Id="rIdyxmftahboetllzy5bwk16" Type="http://schemas.openxmlformats.org/officeDocument/2006/relationships/hyperlink" Target="https://pubmed.ncbi.nlm.nih.gov/42458483/" TargetMode="External"/><Relationship Id="rIdzedxpqwv3fnkri_2iaptw" Type="http://schemas.openxmlformats.org/officeDocument/2006/relationships/hyperlink" Target="https://pubmed.ncbi.nlm.nih.gov/42421036/"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2026年7月利加隆关注报告</dc:title>
  <dc:creator>Codex</dc:creator>
  <cp:lastModifiedBy>Un-named</cp:lastModifiedBy>
  <cp:revision>1</cp:revision>
  <dcterms:created xsi:type="dcterms:W3CDTF">2026-08-10T06:03:21.169Z</dcterms:created>
  <dcterms:modified xsi:type="dcterms:W3CDTF">2026-08-10T06:03:21.169Z</dcterms:modified>
</cp:coreProperties>
</file>

<file path=docProps/custom.xml><?xml version="1.0" encoding="utf-8"?>
<Properties xmlns="http://schemas.openxmlformats.org/officeDocument/2006/custom-properties" xmlns:vt="http://schemas.openxmlformats.org/officeDocument/2006/docPropsVTypes"/>
</file>