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0" w:line="340"/>
      </w:pPr>
      <w:r>
        <w:rPr>
          <w:rFonts w:ascii="Microsoft YaHei UI" w:cs="Microsoft YaHei UI" w:eastAsia="Microsoft YaHei UI" w:hAnsi="Microsoft YaHei UI"/>
          <w:b/>
          <w:bCs/>
          <w:color w:val="147D73"/>
          <w:sz w:val="20"/>
          <w:szCs w:val="20"/>
        </w:rPr>
        <w:t xml:space="preserve">MONTHLY PRODUCT INTELLIGENCE</w:t>
      </w:r>
    </w:p>
    <w:p>
      <w:pPr>
        <w:spacing w:after="120" w:before="0" w:line="340"/>
      </w:pPr>
      <w:r>
        <w:rPr>
          <w:rFonts w:ascii="Microsoft YaHei UI" w:cs="Microsoft YaHei UI" w:eastAsia="Microsoft YaHei UI" w:hAnsi="Microsoft YaHei UI"/>
          <w:b/>
          <w:bCs/>
          <w:color w:val="0B5C55"/>
          <w:sz w:val="40"/>
          <w:szCs w:val="40"/>
        </w:rPr>
        <w:t xml:space="preserve">立普妥｜2026年7月关注报告</w:t>
      </w:r>
    </w:p>
    <w:p>
      <w:pPr>
        <w:spacing w:after="360" w:before="0" w:line="340"/>
      </w:pPr>
      <w:r>
        <w:rPr>
          <w:rFonts w:ascii="Microsoft YaHei UI" w:cs="Microsoft YaHei UI" w:eastAsia="Microsoft YaHei UI" w:hAnsi="Microsoft YaHei UI"/>
          <w:color w:val="5F706E"/>
          <w:sz w:val="22"/>
          <w:szCs w:val="22"/>
        </w:rPr>
        <w:t xml:space="preserve">2026-07-01 至 2026-07-31</w:t>
      </w:r>
    </w:p>
    <w:tbl>
      <w:tblPr>
        <w:tblW w:type="dxa" w:w="10000"/>
        <w:tblBorders>
          <w:top w:val="none"/>
          <w:left w:val="none"/>
          <w:bottom w:val="none"/>
          <w:right w:val="none"/>
          <w:insideH w:val="none"/>
          <w:insideV w:val="single" w:color="FFFFFF" w:sz="8"/>
        </w:tblBorders>
      </w:tblPr>
      <w:tblGrid>
        <w:gridCol w:w="2000"/>
        <w:gridCol w:w="2000"/>
        <w:gridCol w:w="2000"/>
        <w:gridCol w:w="2000"/>
        <w:gridCol w:w="2000"/>
      </w:tblGrid>
      <w:tr>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166</w:t>
            </w:r>
          </w:p>
          <w:p>
            <w:pPr>
              <w:spacing w:after="0" w:before="0" w:line="340"/>
              <w:jc w:val="center"/>
            </w:pPr>
            <w:r>
              <w:rPr>
                <w:rFonts w:ascii="Microsoft YaHei UI" w:cs="Microsoft YaHei UI" w:eastAsia="Microsoft YaHei UI" w:hAnsi="Microsoft YaHei UI"/>
                <w:color w:val="5F706E"/>
                <w:sz w:val="19"/>
                <w:szCs w:val="19"/>
              </w:rPr>
              <w:t xml:space="preserve">有效进展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90</w:t>
            </w:r>
          </w:p>
          <w:p>
            <w:pPr>
              <w:spacing w:after="0" w:before="0" w:line="340"/>
              <w:jc w:val="center"/>
            </w:pPr>
            <w:r>
              <w:rPr>
                <w:rFonts w:ascii="Microsoft YaHei UI" w:cs="Microsoft YaHei UI" w:eastAsia="Microsoft YaHei UI" w:hAnsi="Microsoft YaHei UI"/>
                <w:color w:val="5F706E"/>
                <w:sz w:val="19"/>
                <w:szCs w:val="19"/>
              </w:rPr>
              <w:t xml:space="preserve">建议跟进</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34</w:t>
            </w:r>
          </w:p>
          <w:p>
            <w:pPr>
              <w:spacing w:after="0" w:before="0" w:line="340"/>
              <w:jc w:val="center"/>
            </w:pPr>
            <w:r>
              <w:rPr>
                <w:rFonts w:ascii="Microsoft YaHei UI" w:cs="Microsoft YaHei UI" w:eastAsia="Microsoft YaHei UI" w:hAnsi="Microsoft YaHei UI"/>
                <w:color w:val="5F706E"/>
                <w:sz w:val="19"/>
                <w:szCs w:val="19"/>
              </w:rPr>
              <w:t xml:space="preserve">高证据</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26</w:t>
            </w:r>
          </w:p>
          <w:p>
            <w:pPr>
              <w:spacing w:after="0" w:before="0" w:line="340"/>
              <w:jc w:val="center"/>
            </w:pPr>
            <w:r>
              <w:rPr>
                <w:rFonts w:ascii="Microsoft YaHei UI" w:cs="Microsoft YaHei UI" w:eastAsia="Microsoft YaHei UI" w:hAnsi="Microsoft YaHei UI"/>
                <w:color w:val="5F706E"/>
                <w:sz w:val="19"/>
                <w:szCs w:val="19"/>
              </w:rPr>
              <w:t xml:space="preserve">KOL记录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16</w:t>
            </w:r>
          </w:p>
          <w:p>
            <w:pPr>
              <w:spacing w:after="0" w:before="0" w:line="340"/>
              <w:jc w:val="center"/>
            </w:pPr>
            <w:r>
              <w:rPr>
                <w:rFonts w:ascii="Microsoft YaHei UI" w:cs="Microsoft YaHei UI" w:eastAsia="Microsoft YaHei UI" w:hAnsi="Microsoft YaHei UI"/>
                <w:color w:val="5F706E"/>
                <w:sz w:val="19"/>
                <w:szCs w:val="19"/>
              </w:rPr>
              <w:t xml:space="preserve">涉及专家</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管理层摘要</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750"/>
        <w:gridCol w:w="8250"/>
      </w:tblGrid>
      <w:tr>
        <w:tc>
          <w:tcPr>
            <w:tcW w:type="dxa" w:w="1750"/>
            <w:shd w:fill="DDF1EC"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一句话结论</w:t>
            </w:r>
          </w:p>
        </w:tc>
        <w:tc>
          <w:tcPr>
            <w:tcW w:type="dxa" w:w="8250"/>
            <w:shd w:fill="F2FAF8"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2026年7月立普妥最值得注意的是：降脂竞争继续从他汀同类比较延伸到 PCSK9、长效给药和联合强化治疗。</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发生了什么</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本月纳入 166 条有效产品/竞品进展，其中 90 条建议跟进、34 条为高证据。优先记录包括《匹伐他汀钙相关 ClinicalTrials.gov 临床研究更新（NCT07726368）》、《瑞舒伐他汀钙相关 ClinicalTrials.gov 临床研究更新（NCT07255820）》。</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为什么关注</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这些进展会改变高危患者的降脂路径，也会影响立普妥在高强度他汀、联合用药和依从性场景中的医学沟通。</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建议动作</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建立 PCSK9、口服 PCSK9 和联合降脂方案追踪表；逐条核对高证据研究的人群、终点和安全性；更新立普妥在高强度降脂与联合治疗中的沟通要点。</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本月重点更新</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450"/>
        <w:gridCol w:w="5400"/>
        <w:gridCol w:w="3150"/>
      </w:tblGrid>
      <w:tr>
        <w:trPr>
          <w:tblHeader/>
        </w:trPr>
        <w:tc>
          <w:tcPr>
            <w:tcW w:type="dxa" w:w="14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日期 / 来源</w:t>
            </w:r>
          </w:p>
        </w:tc>
        <w:tc>
          <w:tcPr>
            <w:tcW w:type="dxa" w:w="540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研究或事件</w:t>
            </w:r>
          </w:p>
        </w:tc>
        <w:tc>
          <w:tcPr>
            <w:tcW w:type="dxa" w:w="31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判断与动作</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2026-07-24</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9A5D15"/>
                <w:sz w:val="18"/>
                <w:szCs w:val="18"/>
              </w:rPr>
              <w:t xml:space="preserve">中证据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匹伐他汀钙相关 ClinicalTrials.gov 临床研究更新（NCT07726368）</w:t>
            </w:r>
          </w:p>
          <w:p>
            <w:pPr>
              <w:spacing w:after="0" w:before="0" w:line="320"/>
            </w:pPr>
            <w:r>
              <w:rPr>
                <w:rFonts w:ascii="Microsoft YaHei UI" w:cs="Microsoft YaHei UI" w:eastAsia="Microsoft YaHei UI" w:hAnsi="Microsoft YaHei UI"/>
                <w:color w:val="5F706E"/>
                <w:sz w:val="20"/>
                <w:szCs w:val="20"/>
              </w:rPr>
              <w:t xml:space="preserve">ClinicalTrials.gov 研究：ECC4703 与柳氮磺吡啶和匹伐他汀的研究；NCT：NCT07726368；状态：尚未招募；阶段：1期；适应症/疾病：非酒精性脂肪肝（不适用FLD）；血脂异常；首次发布：2026-07-24；最近更新：2026-07-28。</w:t>
            </w:r>
          </w:p>
          <w:p>
            <w:pPr>
              <w:spacing w:after="0" w:before="80"/>
            </w:pPr>
            <w:hyperlink w:history="1" r:id="rIdqyh1exdm4haz_bc2qpymk">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直接竞品；力清之/Livalo</w:t>
            </w:r>
          </w:p>
          <w:p>
            <w:pPr>
              <w:spacing w:after="0" w:before="0" w:line="320"/>
            </w:pPr>
            <w:r>
              <w:rPr>
                <w:rFonts w:ascii="Microsoft YaHei UI" w:cs="Microsoft YaHei UI" w:eastAsia="Microsoft YaHei UI" w:hAnsi="Microsoft YaHei UI"/>
                <w:color w:val="152625"/>
                <w:sz w:val="20"/>
                <w:szCs w:val="20"/>
              </w:rPr>
              <w:t xml:space="preserve">传统/中高强度他汀替代；建议查看研究设计、入排标准和终点，判断对立普妥或同机制竞品监测的影响。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2026-07-21</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瑞舒伐他汀钙相关 ClinicalTrials.gov 临床研究更新（NCT07255820）</w:t>
            </w:r>
          </w:p>
          <w:p>
            <w:pPr>
              <w:spacing w:after="0" w:before="0" w:line="320"/>
            </w:pPr>
            <w:r>
              <w:rPr>
                <w:rFonts w:ascii="Microsoft YaHei UI" w:cs="Microsoft YaHei UI" w:eastAsia="Microsoft YaHei UI" w:hAnsi="Microsoft YaHei UI"/>
                <w:color w:val="5F706E"/>
                <w:sz w:val="20"/>
                <w:szCs w:val="20"/>
              </w:rPr>
              <w:t xml:space="preserve">ClinicalTrials.gov 研究：低密度脂蛋白胆固醇升高的 2 型糖尿病患者的双重降脂治疗与三重降脂治疗；NCT：NCT07255820；状态：已完成；阶段：4期；适应症/疾病：2型糖尿病；高胆固醇血症/低密度脂蛋白胆固醇升高；首次发布：2025-12-01；最近更新：2026-07-21。</w:t>
            </w:r>
          </w:p>
          <w:p>
            <w:pPr>
              <w:spacing w:after="0" w:before="80"/>
            </w:pPr>
            <w:hyperlink w:history="1" r:id="rIdgkvondjl-qp3tuytmlax6">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直接竞品；可定/Crestor</w:t>
            </w:r>
          </w:p>
          <w:p>
            <w:pPr>
              <w:spacing w:after="0" w:before="0" w:line="320"/>
            </w:pPr>
            <w:r>
              <w:rPr>
                <w:rFonts w:ascii="Microsoft YaHei UI" w:cs="Microsoft YaHei UI" w:eastAsia="Microsoft YaHei UI" w:hAnsi="Microsoft YaHei UI"/>
                <w:color w:val="152625"/>
                <w:sz w:val="20"/>
                <w:szCs w:val="20"/>
              </w:rPr>
              <w:t xml:space="preserve">高强度他汀核心替代；建议查看研究设计、入排标准和终点，判断对立普妥或同机制竞品监测的影响。</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2026-07-06</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9A5D15"/>
                <w:sz w:val="18"/>
                <w:szCs w:val="18"/>
              </w:rPr>
              <w:t xml:space="preserve">中证据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阿托伐他汀钙相关 ClinicalTrials.gov 临床研究更新（NCT07685054）</w:t>
            </w:r>
          </w:p>
          <w:p>
            <w:pPr>
              <w:spacing w:after="0" w:before="0" w:line="320"/>
            </w:pPr>
            <w:r>
              <w:rPr>
                <w:rFonts w:ascii="Microsoft YaHei UI" w:cs="Microsoft YaHei UI" w:eastAsia="Microsoft YaHei UI" w:hAnsi="Microsoft YaHei UI"/>
                <w:color w:val="5F706E"/>
                <w:sz w:val="20"/>
                <w:szCs w:val="20"/>
              </w:rPr>
              <w:t xml:space="preserve">ClinicalTrials.gov 研究：评估“非马沙坦和阿托伐他汀”或“非马沙坦、阿托伐他汀和依泽替米贝”的肾脏保护作用和安全性。；NCT：NCT07685054；状态：尚未招募；阶段：不适用；适应症/疾病：原发性高血压；原发性高胆固醇血症；首次发布：2026-07-06；最近更新：2026-07-06。</w:t>
            </w:r>
          </w:p>
          <w:p>
            <w:pPr>
              <w:spacing w:after="0" w:before="80"/>
            </w:pPr>
            <w:hyperlink w:history="1" r:id="rIdsryn597cxk4kk1fq6shjj">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本品/同成分；立普妥及阿托伐他汀仿制药</w:t>
            </w:r>
          </w:p>
          <w:p>
            <w:pPr>
              <w:spacing w:after="0" w:before="0" w:line="320"/>
            </w:pPr>
            <w:r>
              <w:rPr>
                <w:rFonts w:ascii="Microsoft YaHei UI" w:cs="Microsoft YaHei UI" w:eastAsia="Microsoft YaHei UI" w:hAnsi="Microsoft YaHei UI"/>
                <w:color w:val="152625"/>
                <w:sz w:val="20"/>
                <w:szCs w:val="20"/>
              </w:rPr>
              <w:t xml:space="preserve">同成分价格与一致性评价竞争；建议查看研究设计、入排标准和终点，判断对立普妥或同机制竞品监测的影响。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2026-07-27</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阿托伐他汀钙相关 ClinicalTrials.gov 临床研究更新（NCT07727681）</w:t>
            </w:r>
          </w:p>
          <w:p>
            <w:pPr>
              <w:spacing w:after="0" w:before="0" w:line="320"/>
            </w:pPr>
            <w:r>
              <w:rPr>
                <w:rFonts w:ascii="Microsoft YaHei UI" w:cs="Microsoft YaHei UI" w:eastAsia="Microsoft YaHei UI" w:hAnsi="Microsoft YaHei UI"/>
                <w:color w:val="5F706E"/>
                <w:sz w:val="20"/>
                <w:szCs w:val="20"/>
              </w:rPr>
              <w:t xml:space="preserve">ClinicalTrials.gov 研究：围术期他汀类药物预防肺部手术后心房颤动；NCT：NCT07727681；状态：招募中；阶段：4期；适应症/疾病：术后房颤；肺部手术；首次发布：2026-07-27；最近更新：2026-07-28。</w:t>
            </w:r>
          </w:p>
          <w:p>
            <w:pPr>
              <w:spacing w:after="0" w:before="80"/>
            </w:pPr>
            <w:hyperlink w:history="1" r:id="rIdbpf4bepppxnz9d6c6518n">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本品/同成分；立普妥及阿托伐他汀仿制药</w:t>
            </w:r>
          </w:p>
          <w:p>
            <w:pPr>
              <w:spacing w:after="0" w:before="0" w:line="320"/>
            </w:pPr>
            <w:r>
              <w:rPr>
                <w:rFonts w:ascii="Microsoft YaHei UI" w:cs="Microsoft YaHei UI" w:eastAsia="Microsoft YaHei UI" w:hAnsi="Microsoft YaHei UI"/>
                <w:color w:val="152625"/>
                <w:sz w:val="20"/>
                <w:szCs w:val="20"/>
              </w:rPr>
              <w:t xml:space="preserve">同成分价格与一致性评价竞争；建议查看研究设计、入排标准和终点，判断对立普妥或同机制竞品监测的影响。</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2026-07-31</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恩利西肽相关 ClinicalTrials.gov 临床研究更新（NCT07058077）</w:t>
            </w:r>
          </w:p>
          <w:p>
            <w:pPr>
              <w:spacing w:after="0" w:before="0" w:line="320"/>
            </w:pPr>
            <w:r>
              <w:rPr>
                <w:rFonts w:ascii="Microsoft YaHei UI" w:cs="Microsoft YaHei UI" w:eastAsia="Microsoft YaHei UI" w:hAnsi="Microsoft YaHei UI"/>
                <w:color w:val="5F706E"/>
                <w:sz w:val="20"/>
                <w:szCs w:val="20"/>
              </w:rPr>
              <w:t xml:space="preserve">ClinicalTrials.gov 研究：Enlicitide 癸酸（MK-0616，一种口服 PCSK9 抑制剂）对患有杂合子家族性高胆固醇血症的儿童和青少年 (MK-0616-029) 的研究；NCT：NCT07058077；状态：招募中；阶段：2期；3期；适应症/疾病：杂合子家族性高胆固醇血症 (HeFH)；首次发布：2025-07-10；最近更新：2026-07-31。</w:t>
            </w:r>
          </w:p>
          <w:p>
            <w:pPr>
              <w:spacing w:after="0" w:before="80"/>
            </w:pPr>
            <w:hyperlink w:history="1" r:id="rId4ysqvdi95zjchp1qbubfk">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PCSK9 潜在竞品；Enlicitide/MK-0616</w:t>
            </w:r>
          </w:p>
          <w:p>
            <w:pPr>
              <w:spacing w:after="0" w:before="0" w:line="320"/>
            </w:pPr>
            <w:r>
              <w:rPr>
                <w:rFonts w:ascii="Microsoft YaHei UI" w:cs="Microsoft YaHei UI" w:eastAsia="Microsoft YaHei UI" w:hAnsi="Microsoft YaHei UI"/>
                <w:color w:val="152625"/>
                <w:sz w:val="20"/>
                <w:szCs w:val="20"/>
              </w:rPr>
              <w:t xml:space="preserve">潜在口服 PCSK9，若成功会改变降脂治疗路径；建议查看研究设计、入排标准和终点，判断对立普妥或同机制竞品监测的影响。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2026-07-29</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贝派地酸相关 ClinicalTrials.gov 临床研究更新（NCT06431763）</w:t>
            </w:r>
          </w:p>
          <w:p>
            <w:pPr>
              <w:spacing w:after="0" w:before="0" w:line="320"/>
            </w:pPr>
            <w:r>
              <w:rPr>
                <w:rFonts w:ascii="Microsoft YaHei UI" w:cs="Microsoft YaHei UI" w:eastAsia="Microsoft YaHei UI" w:hAnsi="Microsoft YaHei UI"/>
                <w:color w:val="5F706E"/>
                <w:sz w:val="20"/>
                <w:szCs w:val="20"/>
              </w:rPr>
              <w:t xml:space="preserve">ClinicalTrials.gov 研究：一项研究 Inclisiran 与 Bempedoic Acid 相比，对动脉粥样硬化性心血管疾病患者的 LDL-胆固醇降低作用。；NCT：NCT06431763；状态：已完成；阶段：4期；适应症/疾病：高胆固醇血症；首次发布：2024-05-29；最近更新：2026-07-29。</w:t>
            </w:r>
          </w:p>
          <w:p>
            <w:pPr>
              <w:spacing w:after="0" w:before="80"/>
            </w:pPr>
            <w:hyperlink w:history="1" r:id="rIdltdxxue28s9lle4_pmkmg">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机制/联合竞品；Nexletol/Nilemdo</w:t>
            </w:r>
          </w:p>
          <w:p>
            <w:pPr>
              <w:spacing w:after="0" w:before="0" w:line="320"/>
            </w:pPr>
            <w:r>
              <w:rPr>
                <w:rFonts w:ascii="Microsoft YaHei UI" w:cs="Microsoft YaHei UI" w:eastAsia="Microsoft YaHei UI" w:hAnsi="Microsoft YaHei UI"/>
                <w:color w:val="152625"/>
                <w:sz w:val="20"/>
                <w:szCs w:val="20"/>
              </w:rPr>
              <w:t xml:space="preserve">他汀不耐受及联合降脂；建议查看研究设计、入排标准和终点，判断对立普妥或同机制竞品监测的影响。</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2026-07-29</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9A5D15"/>
                <w:sz w:val="18"/>
                <w:szCs w:val="18"/>
              </w:rPr>
              <w:t xml:space="preserve">中证据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阿利西尤单抗相关 ClinicalTrials.gov 临床研究更新（NCT07734753）</w:t>
            </w:r>
          </w:p>
          <w:p>
            <w:pPr>
              <w:spacing w:after="0" w:before="0" w:line="320"/>
            </w:pPr>
            <w:r>
              <w:rPr>
                <w:rFonts w:ascii="Microsoft YaHei UI" w:cs="Microsoft YaHei UI" w:eastAsia="Microsoft YaHei UI" w:hAnsi="Microsoft YaHei UI"/>
                <w:color w:val="5F706E"/>
                <w:sz w:val="20"/>
                <w:szCs w:val="20"/>
              </w:rPr>
              <w:t xml:space="preserve">ClinicalTrials.gov 研究：Alirocumab 对患有动脉粥样硬化性心血管疾病但既往无缺血事件的参与者的心血管事件的影响；NCT：NCT07734753；状态：活跃，已停止招募；阶段：不适用；适应症/疾病：既往无缺血事件的动脉粥样硬化性心血管疾病；首次发布：2026-07-29；最近更新：2026-07-29。</w:t>
            </w:r>
          </w:p>
          <w:p>
            <w:pPr>
              <w:spacing w:after="0" w:before="80"/>
            </w:pPr>
            <w:hyperlink w:history="1" r:id="rIddhzilmx-1eqldcn9kcpnz">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PCSK9 竞品；Praluent</w:t>
            </w:r>
          </w:p>
          <w:p>
            <w:pPr>
              <w:spacing w:after="0" w:before="0" w:line="320"/>
            </w:pPr>
            <w:r>
              <w:rPr>
                <w:rFonts w:ascii="Microsoft YaHei UI" w:cs="Microsoft YaHei UI" w:eastAsia="Microsoft YaHei UI" w:hAnsi="Microsoft YaHei UI"/>
                <w:color w:val="152625"/>
                <w:sz w:val="20"/>
                <w:szCs w:val="20"/>
              </w:rPr>
              <w:t xml:space="preserve">强效 LDL-C 降低，挤压高危人群他汀单药空间；建议查看研究设计、入排标准和终点，判断对立普妥或同机制竞品监测的影响。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2026-07-29</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英克司兰相关 ClinicalTrials.gov 临床研究更新（NCT06249165）</w:t>
            </w:r>
          </w:p>
          <w:p>
            <w:pPr>
              <w:spacing w:after="0" w:before="0" w:line="320"/>
            </w:pPr>
            <w:r>
              <w:rPr>
                <w:rFonts w:ascii="Microsoft YaHei UI" w:cs="Microsoft YaHei UI" w:eastAsia="Microsoft YaHei UI" w:hAnsi="Microsoft YaHei UI"/>
                <w:color w:val="5F706E"/>
                <w:sz w:val="20"/>
                <w:szCs w:val="20"/>
              </w:rPr>
              <w:t xml:space="preserve">ClinicalTrials.gov 研究：VictORION-INCLUSION：评估 Inclisiran 在心脏病中的胆固醇管理作用；NCT：NCT06249165；状态：活跃，已停止招募；阶段：4期；适应症/疾病：动脉粥样硬化性心血管疾病；首次发布：2024-02-08；最近更新：2026-07-29。</w:t>
            </w:r>
          </w:p>
          <w:p>
            <w:pPr>
              <w:spacing w:after="0" w:before="80"/>
            </w:pPr>
            <w:hyperlink w:history="1" r:id="rId8mqhamtxnt6i-2rqbqqxs">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PCSK9 竞品；Leqvio</w:t>
            </w:r>
          </w:p>
          <w:p>
            <w:pPr>
              <w:spacing w:after="0" w:before="0" w:line="320"/>
            </w:pPr>
            <w:r>
              <w:rPr>
                <w:rFonts w:ascii="Microsoft YaHei UI" w:cs="Microsoft YaHei UI" w:eastAsia="Microsoft YaHei UI" w:hAnsi="Microsoft YaHei UI"/>
                <w:color w:val="152625"/>
                <w:sz w:val="20"/>
                <w:szCs w:val="20"/>
              </w:rPr>
              <w:t xml:space="preserve">半年一次给药的依从性差异化；建议查看研究设计、入排标准和终点，判断对立普妥或同机制竞品监测的影响。</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KOL / 专家动态</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450"/>
        <w:gridCol w:w="8550"/>
      </w:tblGrid>
      <w:tr>
        <w:trPr>
          <w:cantSplit/>
        </w:trPr>
        <w:tc>
          <w:tcPr>
            <w:tcW w:type="dxa" w:w="1450"/>
            <w:shd w:fill="FFFFFF"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2026-07-31</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FFFFF"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王拥军｜首都医科大学附属北京天坛医院</w:t>
            </w:r>
          </w:p>
          <w:p>
            <w:pPr>
              <w:spacing w:after="70" w:before="0" w:line="340"/>
            </w:pPr>
            <w:r>
              <w:rPr>
                <w:rFonts w:ascii="Microsoft YaHei UI" w:cs="Microsoft YaHei UI" w:eastAsia="Microsoft YaHei UI" w:hAnsi="Microsoft YaHei UI"/>
                <w:b/>
                <w:bCs/>
                <w:color w:val="152625"/>
                <w:sz w:val="22"/>
                <w:szCs w:val="22"/>
              </w:rPr>
              <w:t xml:space="preserve">《2023年中国脑卒中统计数据》：来自国家神经系统疾病医疗质量管理中心、国家神经系统疾病临床医学研究中心、国家神经系统疾病预防协作中心、中国脑卒中协会和全球神经科学与脑卒中合作研究院的报告。</w:t>
            </w:r>
          </w:p>
          <w:p>
            <w:pPr>
              <w:spacing w:after="0" w:before="0" w:line="320"/>
            </w:pPr>
            <w:r>
              <w:rPr>
                <w:rFonts w:ascii="Microsoft YaHei UI" w:cs="Microsoft YaHei UI" w:eastAsia="Microsoft YaHei UI" w:hAnsi="Microsoft YaHei UI"/>
                <w:color w:val="5F706E"/>
                <w:sz w:val="20"/>
                <w:szCs w:val="20"/>
              </w:rPr>
              <w:t xml:space="preserve">研究主题：《2023年中国脑卒中统计数据》：来自国家神经系统疾病医疗质量管理中心、国家神经系统疾病临床医学研究中心、国家神经系统疾病预防协作中心、中国脑卒中协会和全球神经科学与脑卒中合作研究院的报告。。摘要要点：背景：中风仍然是中国死亡和成人残疾的主要原因，给社会带来巨大的疾病和社会经济负担，但具有全国代表性的流行病学和真实住院患者护理数据仍然不足。方法：本研究整合了2023年全球疾病负担、2023年医院质量监测系统（7536家医院）和2021年全国死亡率监测系统的数据，系统评估中国脑卒中的流行病学、疾病负担、住院护理模式、临床结果和每次住院的平均费用。结果：2023年，中国报告脑卒中发病病例423万例，流行病例2668万例，死亡病例205万例。尽管年龄标准化发病率和死亡率下降，但缺血性中风（IS）患病率持续增加，而出血性中风仍然是伤残调整生命年的主要原因。真实世界的住院患者数据显示，男性和老年人在中风入院中所占比例较高。中风入院主要集中在三级公立医院，地区差异明显。出血性中风的院内死亡率（脑出血，ICH：4.23%；蛛网膜下腔出血，SAH：4.08% vs IS：0.49%）和不良出院结果均显着高于 IS。三级医院的死亡率高于二级医院（1.19% vs 0.62%），但0-31天再入院率低于二级医院（1.19% vs 1.63%），而私立医院的住院时间较长（10.54天 vs 9.86天），再入院率高于公立医院（1.88% vs 1.34%）。</w:t>
            </w:r>
          </w:p>
          <w:p>
            <w:pPr>
              <w:spacing w:after="0" w:before="80"/>
            </w:pPr>
            <w:hyperlink w:history="1" r:id="rIdabiwflra69k1c1tkutsdz">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5F8F7"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2026-07-31</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5F8F7"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王春娟｜首都医科大学附属北京天坛医院</w:t>
            </w:r>
          </w:p>
          <w:p>
            <w:pPr>
              <w:spacing w:after="70" w:before="0" w:line="340"/>
            </w:pPr>
            <w:r>
              <w:rPr>
                <w:rFonts w:ascii="Microsoft YaHei UI" w:cs="Microsoft YaHei UI" w:eastAsia="Microsoft YaHei UI" w:hAnsi="Microsoft YaHei UI"/>
                <w:b/>
                <w:bCs/>
                <w:color w:val="152625"/>
                <w:sz w:val="22"/>
                <w:szCs w:val="22"/>
              </w:rPr>
              <w:t xml:space="preserve">《2023年中国脑卒中统计数据》：来自国家神经系统疾病医疗质量管理中心、国家神经系统疾病临床医学研究中心、国家神经系统疾病预防协作中心、中国脑卒中协会和全球神经科学与脑卒中合作研究院的报告。</w:t>
            </w:r>
          </w:p>
          <w:p>
            <w:pPr>
              <w:spacing w:after="0" w:before="0" w:line="320"/>
            </w:pPr>
            <w:r>
              <w:rPr>
                <w:rFonts w:ascii="Microsoft YaHei UI" w:cs="Microsoft YaHei UI" w:eastAsia="Microsoft YaHei UI" w:hAnsi="Microsoft YaHei UI"/>
                <w:color w:val="5F706E"/>
                <w:sz w:val="20"/>
                <w:szCs w:val="20"/>
              </w:rPr>
              <w:t xml:space="preserve">研究主题：《2023年中国脑卒中统计数据》：来自国家神经系统疾病医疗质量管理中心、国家神经系统疾病临床医学研究中心、国家神经系统疾病预防协作中心、中国脑卒中协会和全球神经科学与脑卒中合作研究院的报告。。摘要要点：背景：中风仍然是中国死亡和成人残疾的主要原因，给社会带来巨大的疾病和社会经济负担，但具有全国代表性的流行病学和真实住院患者护理数据仍然不足。方法：本研究整合了2023年全球疾病负担、2023年医院质量监测系统（7536家医院）和2021年全国死亡率监测系统的数据，系统评估中国脑卒中的流行病学、疾病负担、住院护理模式、临床结果和每次住院的平均费用。结果：2023年，中国报告脑卒中发病病例423万例，流行病例2668万例，死亡病例205万例。尽管年龄标准化发病率和死亡率下降，但缺血性中风（IS）患病率持续增加，而出血性中风仍然是伤残调整生命年的主要原因。真实世界的住院患者数据显示，男性和老年人在中风入院中所占比例较高。中风入院主要集中在三级公立医院，地区差异明显。出血性中风的院内死亡率（脑出血，ICH：4.23%；蛛网膜下腔出血，SAH：4.08% vs IS：0.49%）和不良出院结果均显着高于 IS。三级医院的死亡率高于二级医院（1.19% vs 0.62%），但0-31天再入院率低于二级医院（1.19% vs 1.63%），而私立医院的住院时间较长（10.54天 vs 9.86天），再入院率高于公立医院（1.88% vs 1.34%）。</w:t>
            </w:r>
          </w:p>
          <w:p>
            <w:pPr>
              <w:spacing w:after="0" w:before="80"/>
            </w:pPr>
            <w:hyperlink w:history="1" r:id="rIdqveoo8yae9bchgv2vfomt">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FFFFF"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2026-07-24</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FFFFF"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周胜华｜中南大学湘雅二医院</w:t>
            </w:r>
          </w:p>
          <w:p>
            <w:pPr>
              <w:spacing w:after="70" w:before="0" w:line="340"/>
            </w:pPr>
            <w:r>
              <w:rPr>
                <w:rFonts w:ascii="Microsoft YaHei UI" w:cs="Microsoft YaHei UI" w:eastAsia="Microsoft YaHei UI" w:hAnsi="Microsoft YaHei UI"/>
                <w:b/>
                <w:bCs/>
                <w:color w:val="152625"/>
                <w:sz w:val="22"/>
                <w:szCs w:val="22"/>
              </w:rPr>
              <w:t xml:space="preserve">在食物中添加盐的频率、代谢特征以及冠状动脉粥样硬化性血管疾病进展的风险。</w:t>
            </w:r>
          </w:p>
          <w:p>
            <w:pPr>
              <w:spacing w:after="0" w:before="0" w:line="320"/>
            </w:pPr>
            <w:r>
              <w:rPr>
                <w:rFonts w:ascii="Microsoft YaHei UI" w:cs="Microsoft YaHei UI" w:eastAsia="Microsoft YaHei UI" w:hAnsi="Microsoft YaHei UI"/>
                <w:color w:val="5F706E"/>
                <w:sz w:val="20"/>
                <w:szCs w:val="20"/>
              </w:rPr>
              <w:t xml:space="preserve">研究主题：在食物中添加盐的频率、代谢特征以及冠状动脉粥样硬化性血管疾病进展的风险。。摘要要点：背景：食物中加盐的频率反映了个人对盐的长期偏好，过量的盐摄入可能会增加心血管风险。然而，这种行为指标与冠状动脉粥样硬化性血管疾病之间的关联及其潜在的代谢特征仍然没有得到充分的表征。方法：我们纳入了来自英国生物银行的 495,291 名参与者，并评估了在食物中添加盐的频率。 Cox 比例风险回归模型分别模拟了加盐频率与外周动脉疾病 (PAD) 和颈动脉狭窄 (CAS) 以及相关事件之间的关联。结果：在平均 13.9 年的随访期间，发现了 7,461 例 PAD 病例和 8,067 例 CAS 病例。当对混杂因素进行充分调整后，与那些从不/很少添加盐的参与者相比，有时、通常或总是在食物中添加盐的参与者患 PAD 的风险分别增加了 8%、16% 和 35%。对于 CAS 来说，类似的风险增加模式也很明显，总是在食物中添加盐的参与者的风险增加了 26%。此外，还观察到血管相关事件之间存在一致的关联。遗传分析进一步表明，加盐频率与 PAD 之间的关联与遗传倾向无关。最后，使用 26 种代谢物构建了加盐频率的代谢特征，这些代谢物分别介导了 PAD 和 CAS 风险增加的 36.4% 和 19.9%。结论：我们的研究表明，经常在食物中添加盐与冠状动脉粥样硬化性血管疾病和相关事件的风险增加相关，其中循环代谢物发挥了部分调节作用。</w:t>
            </w:r>
          </w:p>
          <w:p>
            <w:pPr>
              <w:spacing w:after="0" w:before="80"/>
            </w:pPr>
            <w:hyperlink w:history="1" r:id="rId3dfnzey3gpyj56pd2xrrg">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5F8F7"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2026-07-23</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5F8F7"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王拥军｜首都医科大学附属北京天坛医院</w:t>
            </w:r>
          </w:p>
          <w:p>
            <w:pPr>
              <w:spacing w:after="70" w:before="0" w:line="340"/>
            </w:pPr>
            <w:r>
              <w:rPr>
                <w:rFonts w:ascii="Microsoft YaHei UI" w:cs="Microsoft YaHei UI" w:eastAsia="Microsoft YaHei UI" w:hAnsi="Microsoft YaHei UI"/>
                <w:b/>
                <w:bCs/>
                <w:color w:val="152625"/>
                <w:sz w:val="22"/>
                <w:szCs w:val="22"/>
              </w:rPr>
              <w:t xml:space="preserve">中风后脂蛋白 (a) 相关的认知脆弱性超出高敏 C 反应蛋白。</w:t>
            </w:r>
          </w:p>
          <w:p>
            <w:pPr>
              <w:spacing w:after="0" w:before="0" w:line="320"/>
            </w:pPr>
            <w:r>
              <w:rPr>
                <w:rFonts w:ascii="Microsoft YaHei UI" w:cs="Microsoft YaHei UI" w:eastAsia="Microsoft YaHei UI" w:hAnsi="Microsoft YaHei UI"/>
                <w:color w:val="5F706E"/>
                <w:sz w:val="20"/>
                <w:szCs w:val="20"/>
              </w:rPr>
              <w:t xml:space="preserve">研究主题：中风后脂蛋白 (a) 相关的认知脆弱性超出高敏 C 反应蛋白。。摘要要点：中风后认知障碍（PSCI）反映了除了急性脑损伤之外的认知能力下降的脆弱性。脂蛋白(a) (Lp(a)) 是一种由基因决定的血管危险因素，具有促炎症和促动脉粥样硬化特性，但将Lp(a) 与中风后认知结果联系起来的途径仍不清楚。我们检查了全身炎症是否介导或改变缺血性中风后 Lp(a) 相关的认知风险。我们分析了第三次中国脑卒中登记中心预先指定的子研究的数据。测量基线血清 Lp(a) 和高敏 C 反应蛋白 (hs-CRP)。PSCI 被定义为 1 年时蒙特利尔认知评估分数 ≤ 22。进行多变量逻辑回归、相互作用、联合暴露和因果中介分析，以评估全身炎症在 Lp(a)-PSCI 关联中的作用。在 954 名急性缺血性卒中患者中，调整基线认知表现和临床协变量后，较高的基线 Lp(a) 与 PSCI 风险增加相关（最高与最低三分位数：OR，1.479；95% CI，1.007-2.170）。相反，多变量调整后，hs-CRP 与 PSCI 并不独立相关。未观察到 Lp(a) 和 hs-CRP 之间存在显着的乘性相互作用 (P = 0.2026)。尽管联合暴露分析显示 Lp(a) 和 hs-CRP 均升高的患者 PSCI 风险最高，但中介分析并不支持 hs-CRP 作为有意义的中介因素（中介比例 = 1.46%）。</w:t>
            </w:r>
          </w:p>
          <w:p>
            <w:pPr>
              <w:spacing w:after="0" w:before="80"/>
            </w:pPr>
            <w:hyperlink w:history="1" r:id="rIdfgdxzued_gahdt8rtiqoz">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FFFFF"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2026-07-18</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FFFFF"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窦克非｜中国医学科学院阜外医院</w:t>
            </w:r>
          </w:p>
          <w:p>
            <w:pPr>
              <w:spacing w:after="70" w:before="0" w:line="340"/>
            </w:pPr>
            <w:r>
              <w:rPr>
                <w:rFonts w:ascii="Microsoft YaHei UI" w:cs="Microsoft YaHei UI" w:eastAsia="Microsoft YaHei UI" w:hAnsi="Microsoft YaHei UI"/>
                <w:b/>
                <w:bCs/>
                <w:color w:val="152625"/>
                <w:sz w:val="22"/>
                <w:szCs w:val="22"/>
              </w:rPr>
              <w:t xml:space="preserve">来自两个大型前瞻性队列的证据：中老年人群中残余胆固醇炎症指数的变化和心脏代谢多种疾病的风险。</w:t>
            </w:r>
          </w:p>
          <w:p>
            <w:pPr>
              <w:spacing w:after="0" w:before="0" w:line="320"/>
            </w:pPr>
            <w:r>
              <w:rPr>
                <w:rFonts w:ascii="Microsoft YaHei UI" w:cs="Microsoft YaHei UI" w:eastAsia="Microsoft YaHei UI" w:hAnsi="Microsoft YaHei UI"/>
                <w:color w:val="5F706E"/>
                <w:sz w:val="20"/>
                <w:szCs w:val="20"/>
              </w:rPr>
              <w:t xml:space="preserve">研究主题：来自两个大型前瞻性队列的证据：中老年人群中残余胆固醇炎症指数的变化和心脏代谢多种疾病的风险。。摘要要点：目的：虽然残余胆固醇（RC）和高敏C反应蛋白（hs-CRP）是心脏代谢多病（CMM）的独立危险因素，但它们的综合预测价值仍不清楚。我们研究了残余胆固醇炎症指数 (RCII) 对 CMM 发生率的预测效用。方法：RCII 来自中国健康与退休纵向研究 (CHARLS) 的 5,870 名参与者和英国老龄化纵向研究 (ELSA) 的 2,295 名参与者，计算公式为 RC (mg/dL) × hs-CRP (mg/L) / 10。亚队列 (n = 5,966) 的纵向分析进一步评估了累积值之间的关联。RCII，RCII 和 CMM 发生率的变化。结果：基线 RCII 每增加一个 ln 单位，CMM 风险就会增加 14%（CHARLS：HR 1.14，95% CI 1.09-1.19）和 21%（ELSA：HR 1.21，95% CI 1.10-1.34）。同样，累积 RCII 增量使 CMM 风险增加 20%（CHARLS：HR 1.20，95% CI 1.11-1.29）和 30%（ELSA：HR 1.30，95% CI 1.11-1.51）。转换模式分析表明，与稳定的低 RCII 水平相比，稳定的高 RCII 水平带来最高的 CMM 风险。RCII 对 CMM 表现出中等的独立预测能力，并且优于单独的 RC 或 hs-CRP。</w:t>
            </w:r>
          </w:p>
          <w:p>
            <w:pPr>
              <w:spacing w:after="0" w:before="80"/>
            </w:pPr>
            <w:hyperlink w:history="1" r:id="rIdsw_ksmm8behrnupub9u63">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5F8F7"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2026-07-16</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5F8F7"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杨毅宁｜新疆维吾尔自治区人民医院</w:t>
            </w:r>
          </w:p>
          <w:p>
            <w:pPr>
              <w:spacing w:after="70" w:before="0" w:line="340"/>
            </w:pPr>
            <w:r>
              <w:rPr>
                <w:rFonts w:ascii="Microsoft YaHei UI" w:cs="Microsoft YaHei UI" w:eastAsia="Microsoft YaHei UI" w:hAnsi="Microsoft YaHei UI"/>
                <w:b/>
                <w:bCs/>
                <w:color w:val="152625"/>
                <w:sz w:val="22"/>
                <w:szCs w:val="22"/>
              </w:rPr>
              <w:t xml:space="preserve">空间转录组分析揭示了人类斯坦福 A 型主动脉夹层的空间特征。</w:t>
            </w:r>
          </w:p>
          <w:p>
            <w:pPr>
              <w:spacing w:after="0" w:before="0" w:line="320"/>
            </w:pPr>
            <w:r>
              <w:rPr>
                <w:rFonts w:ascii="Microsoft YaHei UI" w:cs="Microsoft YaHei UI" w:eastAsia="Microsoft YaHei UI" w:hAnsi="Microsoft YaHei UI"/>
                <w:color w:val="5F706E"/>
                <w:sz w:val="20"/>
                <w:szCs w:val="20"/>
              </w:rPr>
              <w:t xml:space="preserve">研究主题：空间转录组分析揭示了人类斯坦福 A 型主动脉夹层的空间特征。。摘要要点：斯坦福 A 型主动脉夹层 (AAD) 是一种危及生命的心血管疾病，其特征是主动脉壁撕裂。利用空间转录组学和多重免疫荧光，我们全面分析了 8 名不同严重程度和节段的 AAD 患者的升主动脉。我们证明 SPP1 驱动的炎症信号随着 AAD 的严重程度而增强，确定了九个基因、层锚定的严重程度等级：MYL6/CALD1/MYH9（轻度）； CCL2/CP/COL4A1（中等）；和 TMSB4X/ATP5F1E/PKM（严重）。重要的是，胶原重塑三联体 COL1A1/COL3A1/MMP2 在头臂动脉、左锁骨下动脉和左颈总动脉中同时上调，通常在升主动脉达到手术直径阈值之前。这些分子特征为非侵入性生物标志物发现、风险分层和针对 SPP1 炎症轴的精准药物治疗提供了关键基础，最终为 AAD 机制和治疗靶点提供了新的见解。</w:t>
            </w:r>
          </w:p>
          <w:p>
            <w:pPr>
              <w:spacing w:after="0" w:before="80"/>
            </w:pPr>
            <w:hyperlink w:history="1" r:id="rIdvyt97otjp1v3z0qokejvs">
              <w:r>
                <w:rPr>
                  <w:rFonts w:ascii="Microsoft YaHei UI" w:cs="Microsoft YaHei UI" w:eastAsia="Microsoft YaHei UI" w:hAnsi="Microsoft YaHei UI"/>
                  <w:color w:val="1B6CA8"/>
                  <w:sz w:val="18"/>
                  <w:szCs w:val="18"/>
                  <w:u w:val="single"/>
                </w:rPr>
                <w:t xml:space="preserve">打开原始来源</w:t>
              </w:r>
            </w:hyperlink>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涉及分子 / 靶点</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辛伐他汀 / simvastatin / C25H38O5（24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阿托伐他汀钙 / atorvastatin calcium / C66H68CaF2N4O10（23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依洛尤单抗 / evolocumab / 不适用：抗体/融合蛋白/大分子药物，分子量和糖基化等取决于序列与生产工艺（18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英克司兰 / inclisiran / 寡核苷酸/siRNA：需按序列、修饰和盐型确认分子式（17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瑞舒伐他汀钙 / rosuvastatin calcium / C44H54CaF2N6O12S2（14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贝派地酸 / bempedoic acid / C19H36O5（14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依折麦布 / ezetimibe / C24H21F2NO3（13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匹伐他汀钙 / pitavastatin calcium / C50H46CaF2N2O8（8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阿利西尤单抗 / alirocumab / 不适用：抗体/融合蛋白/大分子药物，分子量和糖基化等取决于序列与生产工艺（7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普伐他汀钠 / pravastatin sodium / C23H35NaO7（6 条）</w:t>
      </w:r>
    </w:p>
    <w:p>
      <w:pPr>
        <w:pStyle w:val="Heading1"/>
        <w:keepNext/>
        <w:spacing w:after="160" w:before="300" w:line="340"/>
      </w:pPr>
      <w:r>
        <w:rPr>
          <w:rFonts w:ascii="Microsoft YaHei UI" w:cs="Microsoft YaHei UI" w:eastAsia="Microsoft YaHei UI" w:hAnsi="Microsoft YaHei UI"/>
          <w:color w:val="152625"/>
          <w:sz w:val="22"/>
          <w:szCs w:val="22"/>
        </w:rPr>
        <w:t xml:space="preserve">建议跟进</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建立 PCSK9、口服 PCSK9 和联合降脂方案追踪表</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逐条核对高证据研究的人群、终点和安全性</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更新立普妥在高强度降脂与联合治疗中的沟通要点</w:t>
      </w:r>
    </w:p>
    <w:sectPr>
      <w:headerReference w:type="default" r:id="rId7"/>
      <w:footerReference w:type="default" r:id="rId8"/>
      <w:pgSz w:w="11906" w:h="16838" w:orient="portrait"/>
      <w:pgMar w:top="1150" w:right="950" w:bottom="105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UI" w:cs="Microsoft YaHei UI" w:eastAsia="Microsoft YaHei UI" w:hAnsi="Microsoft YaHei UI"/>
        <w:color w:val="5F706E"/>
        <w:sz w:val="17"/>
        <w:szCs w:val="17"/>
      </w:rPr>
      <w:t xml:space="preserve">内部工作材料 ·</w:t>
    </w:r>
    <w:r>
      <w:rPr>
        <w:rFonts w:ascii="Microsoft YaHei UI" w:cs="Microsoft YaHei UI" w:eastAsia="Microsoft YaHei UI" w:hAnsi="Microsoft YaHei UI"/>
        <w:color w:val="5F706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40"/>
      <w:jc w:val="right"/>
    </w:pPr>
    <w:r>
      <w:rPr>
        <w:rFonts w:ascii="Microsoft YaHei UI" w:cs="Microsoft YaHei UI" w:eastAsia="Microsoft YaHei UI" w:hAnsi="Microsoft YaHei UI"/>
        <w:color w:val="5F706E"/>
        <w:sz w:val="17"/>
        <w:szCs w:val="17"/>
      </w:rPr>
      <w:t xml:space="preserve">立普妥 | 2026年7月产品情报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UI" w:cs="Microsoft YaHei UI" w:eastAsia="Microsoft YaHei UI" w:hAnsi="Microsoft YaHei UI"/>
        <w:color w:val="152625"/>
        <w:sz w:val="22"/>
        <w:szCs w:val="22"/>
      </w:rPr>
    </w:rPrDefault>
    <w:pPrDefault>
      <w:pPr>
        <w:spacing w:after="12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pPr>
    <w:rPr>
      <w:rFonts w:ascii="Microsoft YaHei UI" w:cs="Microsoft YaHei UI" w:eastAsia="Microsoft YaHei UI" w:hAnsi="Microsoft YaHei UI"/>
      <w:b/>
      <w:bCs/>
      <w:color w:val="0B5C5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yh1exdm4haz_bc2qpymk" Type="http://schemas.openxmlformats.org/officeDocument/2006/relationships/hyperlink" Target="https://clinicaltrials.gov/study/NCT07726368" TargetMode="External"/><Relationship Id="rIdgkvondjl-qp3tuytmlax6" Type="http://schemas.openxmlformats.org/officeDocument/2006/relationships/hyperlink" Target="https://clinicaltrials.gov/study/NCT07255820" TargetMode="External"/><Relationship Id="rIdsryn597cxk4kk1fq6shjj" Type="http://schemas.openxmlformats.org/officeDocument/2006/relationships/hyperlink" Target="https://clinicaltrials.gov/study/NCT07685054" TargetMode="External"/><Relationship Id="rIdbpf4bepppxnz9d6c6518n" Type="http://schemas.openxmlformats.org/officeDocument/2006/relationships/hyperlink" Target="https://clinicaltrials.gov/study/NCT07727681" TargetMode="External"/><Relationship Id="rId4ysqvdi95zjchp1qbubfk" Type="http://schemas.openxmlformats.org/officeDocument/2006/relationships/hyperlink" Target="https://clinicaltrials.gov/study/NCT07058077" TargetMode="External"/><Relationship Id="rIdltdxxue28s9lle4_pmkmg" Type="http://schemas.openxmlformats.org/officeDocument/2006/relationships/hyperlink" Target="https://clinicaltrials.gov/study/NCT06431763" TargetMode="External"/><Relationship Id="rIddhzilmx-1eqldcn9kcpnz" Type="http://schemas.openxmlformats.org/officeDocument/2006/relationships/hyperlink" Target="https://clinicaltrials.gov/study/NCT07734753" TargetMode="External"/><Relationship Id="rId8mqhamtxnt6i-2rqbqqxs" Type="http://schemas.openxmlformats.org/officeDocument/2006/relationships/hyperlink" Target="https://clinicaltrials.gov/study/NCT06249165" TargetMode="External"/><Relationship Id="rIdabiwflra69k1c1tkutsdz" Type="http://schemas.openxmlformats.org/officeDocument/2006/relationships/hyperlink" Target="https://pubmed.ncbi.nlm.nih.gov/42538143/" TargetMode="External"/><Relationship Id="rIdqveoo8yae9bchgv2vfomt" Type="http://schemas.openxmlformats.org/officeDocument/2006/relationships/hyperlink" Target="https://pubmed.ncbi.nlm.nih.gov/42538143/" TargetMode="External"/><Relationship Id="rId3dfnzey3gpyj56pd2xrrg" Type="http://schemas.openxmlformats.org/officeDocument/2006/relationships/hyperlink" Target="https://pubmed.ncbi.nlm.nih.gov/42568408/" TargetMode="External"/><Relationship Id="rIdfgdxzued_gahdt8rtiqoz" Type="http://schemas.openxmlformats.org/officeDocument/2006/relationships/hyperlink" Target="https://pubmed.ncbi.nlm.nih.gov/42489761/" TargetMode="External"/><Relationship Id="rIdsw_ksmm8behrnupub9u63" Type="http://schemas.openxmlformats.org/officeDocument/2006/relationships/hyperlink" Target="https://pubmed.ncbi.nlm.nih.gov/42471184/" TargetMode="External"/><Relationship Id="rIdvyt97otjp1v3z0qokejvs" Type="http://schemas.openxmlformats.org/officeDocument/2006/relationships/hyperlink" Target="https://pubmed.ncbi.nlm.nih.gov/42519065/"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2026年7月立普妥关注报告</dc:title>
  <dc:creator>Codex</dc:creator>
  <cp:lastModifiedBy>Un-named</cp:lastModifiedBy>
  <cp:revision>1</cp:revision>
  <dcterms:created xsi:type="dcterms:W3CDTF">2026-08-10T06:03:21.058Z</dcterms:created>
  <dcterms:modified xsi:type="dcterms:W3CDTF">2026-08-10T06:03:21.062Z</dcterms:modified>
</cp:coreProperties>
</file>

<file path=docProps/custom.xml><?xml version="1.0" encoding="utf-8"?>
<Properties xmlns="http://schemas.openxmlformats.org/officeDocument/2006/custom-properties" xmlns:vt="http://schemas.openxmlformats.org/officeDocument/2006/docPropsVTypes"/>
</file>