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络活喜｜2026年7月关注报告</w:t>
      </w:r>
    </w:p>
    <w:p>
      <w:pPr>
        <w:spacing w:after="360" w:before="0" w:line="340"/>
      </w:pPr>
      <w:r>
        <w:rPr>
          <w:rFonts w:ascii="Microsoft YaHei UI" w:cs="Microsoft YaHei UI" w:eastAsia="Microsoft YaHei UI" w:hAnsi="Microsoft YaHei UI"/>
          <w:color w:val="5F706E"/>
          <w:sz w:val="22"/>
          <w:szCs w:val="22"/>
        </w:rPr>
        <w:t xml:space="preserve">2026-07-01 至 2026-07-31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66</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32</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16</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11</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9</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2026年7月络活喜最值得注意的是：高血压竞争更强调长效控制、单片复方和特殊人群管理，而不是单一降压幅度。</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66 条有效产品/竞品进展，其中 32 条建议跟进、16 条为高证据。优先记录包括《苯磺酸氨氯地平相关 ClinicalTrials.gov 临床研究更新（NCT07704697）》、《苯磺酸氨氯地平相关 ClinicalTrials.gov 临床研究更新（NCT07704684）》。</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复方方案和依从性证据会影响络活喜在长期管理、起始联合和合并风险患者中的定位。</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跟踪 ARB/CCB 单片复方研究和真实世界依从性；核对特殊人群中的血压终点与不良反应；补充长效平稳降压和联合治疗的医学证据。</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2026-07-15</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苯磺酸氨氯地平相关 ClinicalTrials.gov 临床研究更新（NCT07704697）</w:t>
            </w:r>
          </w:p>
          <w:p>
            <w:pPr>
              <w:spacing w:after="0" w:before="0" w:line="320"/>
            </w:pPr>
            <w:r>
              <w:rPr>
                <w:rFonts w:ascii="Microsoft YaHei UI" w:cs="Microsoft YaHei UI" w:eastAsia="Microsoft YaHei UI" w:hAnsi="Microsoft YaHei UI"/>
                <w:color w:val="5F706E"/>
                <w:sz w:val="20"/>
                <w:szCs w:val="20"/>
              </w:rPr>
              <w:t xml:space="preserve">ClinicalTrials.gov 研究：评估沙库巴曲/艾力沙坦和氨氯地平对沙库巴曲/艾力沙坦无法控制的原发性高血压患者的影响；NCT：NCT07704697；状态：已完成；阶段：3期；适应症/疾病：原发性高血压；首次发布：2026-07-15；最近更新：2026-07-15。</w:t>
            </w:r>
          </w:p>
          <w:p>
            <w:pPr>
              <w:spacing w:after="0" w:before="80"/>
            </w:pPr>
            <w:hyperlink w:history="1" r:id="rIddt0nzia0i1owot2xgnp4s">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本品/同成分；络活喜及氨氯地平仿制药</w:t>
            </w:r>
          </w:p>
          <w:p>
            <w:pPr>
              <w:spacing w:after="0" w:before="0" w:line="320"/>
            </w:pPr>
            <w:r>
              <w:rPr>
                <w:rFonts w:ascii="Microsoft YaHei UI" w:cs="Microsoft YaHei UI" w:eastAsia="Microsoft YaHei UI" w:hAnsi="Microsoft YaHei UI"/>
                <w:color w:val="152625"/>
                <w:sz w:val="20"/>
                <w:szCs w:val="20"/>
              </w:rPr>
              <w:t xml:space="preserve">同成分价格与一致性评价竞争；建议查看研究设计、入排标准和终点，判断对络活喜或同机制竞品监测的影响。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2026-07-15</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苯磺酸氨氯地平相关 ClinicalTrials.gov 临床研究更新（NCT07704684）</w:t>
            </w:r>
          </w:p>
          <w:p>
            <w:pPr>
              <w:spacing w:after="0" w:before="0" w:line="320"/>
            </w:pPr>
            <w:r>
              <w:rPr>
                <w:rFonts w:ascii="Microsoft YaHei UI" w:cs="Microsoft YaHei UI" w:eastAsia="Microsoft YaHei UI" w:hAnsi="Microsoft YaHei UI"/>
                <w:color w:val="5F706E"/>
                <w:sz w:val="20"/>
                <w:szCs w:val="20"/>
              </w:rPr>
              <w:t xml:space="preserve">ClinicalTrials.gov 研究：评估沙库巴曲/阿利沙坦和氨氯地平对氨氯地平无法控制的原发性高血压患者的影响；NCT：NCT07704684；状态：已完成；阶段：3期；适应症/疾病：原发性高血压；首次发布：2026-07-15；最近更新：2026-07-15。</w:t>
            </w:r>
          </w:p>
          <w:p>
            <w:pPr>
              <w:spacing w:after="0" w:before="80"/>
            </w:pPr>
            <w:hyperlink w:history="1" r:id="rIdtfg6sley3aucnhki2bxyu">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本品/同成分；络活喜及氨氯地平仿制药</w:t>
            </w:r>
          </w:p>
          <w:p>
            <w:pPr>
              <w:spacing w:after="0" w:before="0" w:line="320"/>
            </w:pPr>
            <w:r>
              <w:rPr>
                <w:rFonts w:ascii="Microsoft YaHei UI" w:cs="Microsoft YaHei UI" w:eastAsia="Microsoft YaHei UI" w:hAnsi="Microsoft YaHei UI"/>
                <w:color w:val="152625"/>
                <w:sz w:val="20"/>
                <w:szCs w:val="20"/>
              </w:rPr>
              <w:t xml:space="preserve">同成分价格与一致性评价竞争；建议查看研究设计、入排标准和终点，判断对络活喜或同机制竞品监测的影响。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2026-07-07</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苯磺酸氨氯地平相关 ClinicalTrials.gov 临床研究更新（NCT07687160）</w:t>
            </w:r>
          </w:p>
          <w:p>
            <w:pPr>
              <w:spacing w:after="0" w:before="0" w:line="320"/>
            </w:pPr>
            <w:r>
              <w:rPr>
                <w:rFonts w:ascii="Microsoft YaHei UI" w:cs="Microsoft YaHei UI" w:eastAsia="Microsoft YaHei UI" w:hAnsi="Microsoft YaHei UI"/>
                <w:color w:val="5F706E"/>
                <w:sz w:val="20"/>
                <w:szCs w:val="20"/>
              </w:rPr>
              <w:t xml:space="preserve">ClinicalTrials.gov 研究：SPIRO-First：肾素引导一线抗高血压治疗的实用初级保健试点试验；NCT：NCT07687160；状态：尚未招募；阶段：4期；适应症/疾病：Hypertension；首次发布：2026-07-07；最近更新：2026-07-13。</w:t>
            </w:r>
          </w:p>
          <w:p>
            <w:pPr>
              <w:spacing w:after="0" w:before="80"/>
            </w:pPr>
            <w:hyperlink w:history="1" r:id="rIdgfmmbcsogd2p7zoxgfooi">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本品/同成分；络活喜及氨氯地平仿制药</w:t>
            </w:r>
          </w:p>
          <w:p>
            <w:pPr>
              <w:spacing w:after="0" w:before="0" w:line="320"/>
            </w:pPr>
            <w:r>
              <w:rPr>
                <w:rFonts w:ascii="Microsoft YaHei UI" w:cs="Microsoft YaHei UI" w:eastAsia="Microsoft YaHei UI" w:hAnsi="Microsoft YaHei UI"/>
                <w:color w:val="152625"/>
                <w:sz w:val="20"/>
                <w:szCs w:val="20"/>
              </w:rPr>
              <w:t xml:space="preserve">同成分价格与一致性评价竞争；建议查看研究设计、入排标准和终点，判断对络活喜或同机制竞品监测的影响。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2026-07-06</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苯磺酸氨氯地平相关 ClinicalTrials.gov 临床研究更新（NCT07683585）</w:t>
            </w:r>
          </w:p>
          <w:p>
            <w:pPr>
              <w:spacing w:after="0" w:before="0" w:line="320"/>
            </w:pPr>
            <w:r>
              <w:rPr>
                <w:rFonts w:ascii="Microsoft YaHei UI" w:cs="Microsoft YaHei UI" w:eastAsia="Microsoft YaHei UI" w:hAnsi="Microsoft YaHei UI"/>
                <w:color w:val="5F706E"/>
                <w:sz w:val="20"/>
                <w:szCs w:val="20"/>
              </w:rPr>
              <w:t xml:space="preserve">ClinicalTrials.gov 研究：经皮冠状动脉介入治疗后患者双重降压方案的疗效比较；NCT：NCT07683585；状态：招募中；阶段：不适用；适应症/疾病：高血压；冠心病；经皮冠状动脉介入治疗；首次发布：2026-07-06；最近更新：2026-07-06。</w:t>
            </w:r>
          </w:p>
          <w:p>
            <w:pPr>
              <w:spacing w:after="0" w:before="80"/>
            </w:pPr>
            <w:hyperlink w:history="1" r:id="rIdz4w2-oxoef5ru7by_hbti">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本品/同成分；络活喜及氨氯地平仿制药</w:t>
            </w:r>
          </w:p>
          <w:p>
            <w:pPr>
              <w:spacing w:after="0" w:before="0" w:line="320"/>
            </w:pPr>
            <w:r>
              <w:rPr>
                <w:rFonts w:ascii="Microsoft YaHei UI" w:cs="Microsoft YaHei UI" w:eastAsia="Microsoft YaHei UI" w:hAnsi="Microsoft YaHei UI"/>
                <w:color w:val="152625"/>
                <w:sz w:val="20"/>
                <w:szCs w:val="20"/>
              </w:rPr>
              <w:t xml:space="preserve">同成分价格与一致性评价竞争；建议查看研究设计、入排标准和终点，判断对络活喜或同机制竞品监测的影响。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硝苯地平相关 ClinicalTrials.gov 临床研究更新（NCT05687344）</w:t>
            </w:r>
          </w:p>
          <w:p>
            <w:pPr>
              <w:spacing w:after="0" w:before="0" w:line="320"/>
            </w:pPr>
            <w:r>
              <w:rPr>
                <w:rFonts w:ascii="Microsoft YaHei UI" w:cs="Microsoft YaHei UI" w:eastAsia="Microsoft YaHei UI" w:hAnsi="Microsoft YaHei UI"/>
                <w:color w:val="5F706E"/>
                <w:sz w:val="20"/>
                <w:szCs w:val="20"/>
              </w:rPr>
              <w:t xml:space="preserve">ClinicalTrials.gov 研究：产后强化抗高血压治疗；NCT：NCT05687344；状态：活跃，已停止招募；阶段：3期；适应症/疾病：妊娠期高血压疾病；首次发布：2023-01-18；最近更新：2026-07-20。</w:t>
            </w:r>
          </w:p>
          <w:p>
            <w:pPr>
              <w:spacing w:after="0" w:before="80"/>
            </w:pPr>
            <w:hyperlink w:history="1" r:id="rIdgjuu6mk2eywm94kk9vevu">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同类竞品；心痛定/拜新同</w:t>
            </w:r>
          </w:p>
          <w:p>
            <w:pPr>
              <w:spacing w:after="0" w:before="0" w:line="320"/>
            </w:pPr>
            <w:r>
              <w:rPr>
                <w:rFonts w:ascii="Microsoft YaHei UI" w:cs="Microsoft YaHei UI" w:eastAsia="Microsoft YaHei UI" w:hAnsi="Microsoft YaHei UI"/>
                <w:color w:val="152625"/>
                <w:sz w:val="20"/>
                <w:szCs w:val="20"/>
              </w:rPr>
              <w:t xml:space="preserve">CCB 同类替代；建议查看研究设计、入排标准和终点，判断对络活喜或同机制竞品监测的影响。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硝苯地平相关 ClinicalTrials.gov 临床研究更新（NCT04298034）</w:t>
            </w:r>
          </w:p>
          <w:p>
            <w:pPr>
              <w:spacing w:after="0" w:before="0" w:line="320"/>
            </w:pPr>
            <w:r>
              <w:rPr>
                <w:rFonts w:ascii="Microsoft YaHei UI" w:cs="Microsoft YaHei UI" w:eastAsia="Microsoft YaHei UI" w:hAnsi="Microsoft YaHei UI"/>
                <w:color w:val="5F706E"/>
                <w:sz w:val="20"/>
                <w:szCs w:val="20"/>
              </w:rPr>
              <w:t xml:space="preserve">ClinicalTrials.gov 研究：先兆子痫产后抗高血压治疗；NCT：NCT04298034；状态：活跃，已停止招募；阶段：3期；适应症/疾病：先兆子痫；妊娠期高血压；首次发布：2020-03-06；最近更新：2026-07-20。</w:t>
            </w:r>
          </w:p>
          <w:p>
            <w:pPr>
              <w:spacing w:after="0" w:before="80"/>
            </w:pPr>
            <w:hyperlink w:history="1" r:id="rId3xljulj0tvlnnyvhxgwqw">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同类竞品；心痛定/拜新同</w:t>
            </w:r>
          </w:p>
          <w:p>
            <w:pPr>
              <w:spacing w:after="0" w:before="0" w:line="320"/>
            </w:pPr>
            <w:r>
              <w:rPr>
                <w:rFonts w:ascii="Microsoft YaHei UI" w:cs="Microsoft YaHei UI" w:eastAsia="Microsoft YaHei UI" w:hAnsi="Microsoft YaHei UI"/>
                <w:color w:val="152625"/>
                <w:sz w:val="20"/>
                <w:szCs w:val="20"/>
              </w:rPr>
              <w:t xml:space="preserve">CCB 同类替代；建议查看研究设计、入排标准和终点，判断对络活喜或同机制竞品监测的影响。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2026-07-14</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缬沙坦相关 ClinicalTrials.gov 临床研究更新（NCT07700875）</w:t>
            </w:r>
          </w:p>
          <w:p>
            <w:pPr>
              <w:spacing w:after="0" w:before="0" w:line="320"/>
            </w:pPr>
            <w:r>
              <w:rPr>
                <w:rFonts w:ascii="Microsoft YaHei UI" w:cs="Microsoft YaHei UI" w:eastAsia="Microsoft YaHei UI" w:hAnsi="Microsoft YaHei UI"/>
                <w:color w:val="5F706E"/>
                <w:sz w:val="20"/>
                <w:szCs w:val="20"/>
              </w:rPr>
              <w:t xml:space="preserve">ClinicalTrials.gov 研究：QR12000复方片治疗中重度原发性高血压患者的II期临床研究；NCT：NCT07700875；状态：已完成；阶段：2期；适应症/疾病：原发性高血压；首次发布：2026-07-14；最近更新：2026-07-14。</w:t>
            </w:r>
          </w:p>
          <w:p>
            <w:pPr>
              <w:spacing w:after="0" w:before="80"/>
            </w:pPr>
            <w:hyperlink w:history="1" r:id="rIdg2gyutofhi9-uc08sjuho">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复方/机制竞品；代文/倍博特相关</w:t>
            </w:r>
          </w:p>
          <w:p>
            <w:pPr>
              <w:spacing w:after="0" w:before="0" w:line="320"/>
            </w:pPr>
            <w:r>
              <w:rPr>
                <w:rFonts w:ascii="Microsoft YaHei UI" w:cs="Microsoft YaHei UI" w:eastAsia="Microsoft YaHei UI" w:hAnsi="Microsoft YaHei UI"/>
                <w:color w:val="152625"/>
                <w:sz w:val="20"/>
                <w:szCs w:val="20"/>
              </w:rPr>
              <w:t xml:space="preserve">ARB/CCB 复方替代或联合；建议查看研究设计、入排标准和终点，判断对络活喜或同机制竞品监测的影响。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2026-07-01</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苯磺酸氨氯地平相关医学报道/安全性论文发布（PMID 42215366）</w:t>
            </w:r>
          </w:p>
          <w:p>
            <w:pPr>
              <w:spacing w:after="0" w:before="0" w:line="320"/>
            </w:pPr>
            <w:r>
              <w:rPr>
                <w:rFonts w:ascii="Microsoft YaHei UI" w:cs="Microsoft YaHei UI" w:eastAsia="Microsoft YaHei UI" w:hAnsi="Microsoft YaHei UI"/>
                <w:color w:val="5F706E"/>
                <w:sz w:val="20"/>
                <w:szCs w:val="20"/>
              </w:rPr>
              <w:t xml:space="preserve">原题：回复给编辑的信：“低剂量替米沙坦和 S-氨氯地平联合治疗高血压患者的疗效和安全性：随机、双盲、多中心、治疗验证性 III 期临床试验”。；期刊：Clin Ther；检索词：amlodipine；出版时间：2026-07-01。</w:t>
            </w:r>
          </w:p>
          <w:p>
            <w:pPr>
              <w:spacing w:after="0" w:before="80"/>
            </w:pPr>
            <w:hyperlink w:history="1" r:id="rIdcxfxw-v0imfuzxhs7nbct">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本品/同成分；络活喜及氨氯地平仿制药</w:t>
            </w:r>
          </w:p>
          <w:p>
            <w:pPr>
              <w:spacing w:after="0" w:before="0" w:line="320"/>
            </w:pPr>
            <w:r>
              <w:rPr>
                <w:rFonts w:ascii="Microsoft YaHei UI" w:cs="Microsoft YaHei UI" w:eastAsia="Microsoft YaHei UI" w:hAnsi="Microsoft YaHei UI"/>
                <w:color w:val="152625"/>
                <w:sz w:val="20"/>
                <w:szCs w:val="20"/>
              </w:rPr>
              <w:t xml:space="preserve">同成分价格与一致性评价竞争；建议评估该更新对络活喜相关医学信息、竞品监测或风险沟通的影响。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2026-07-18</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李子孝｜首都医科大学附属北京天坛医院</w:t>
            </w:r>
          </w:p>
          <w:p>
            <w:pPr>
              <w:spacing w:after="70" w:before="0" w:line="340"/>
            </w:pPr>
            <w:r>
              <w:rPr>
                <w:rFonts w:ascii="Microsoft YaHei UI" w:cs="Microsoft YaHei UI" w:eastAsia="Microsoft YaHei UI" w:hAnsi="Microsoft YaHei UI"/>
                <w:b/>
                <w:bCs/>
                <w:color w:val="152625"/>
                <w:sz w:val="22"/>
                <w:szCs w:val="22"/>
              </w:rPr>
              <w:t xml:space="preserve">年龄相关性脑萎缩通过 YKL-40 相关炎症途径介导一年缺血性中风复发和全因死亡率的复合结果：结构方程模型。</w:t>
            </w:r>
          </w:p>
          <w:p>
            <w:pPr>
              <w:spacing w:after="0" w:before="0" w:line="320"/>
            </w:pPr>
            <w:r>
              <w:rPr>
                <w:rFonts w:ascii="Microsoft YaHei UI" w:cs="Microsoft YaHei UI" w:eastAsia="Microsoft YaHei UI" w:hAnsi="Microsoft YaHei UI"/>
                <w:color w:val="5F706E"/>
                <w:sz w:val="20"/>
                <w:szCs w:val="20"/>
              </w:rPr>
              <w:t xml:space="preserve">研究主题：年龄相关性脑萎缩通过 YKL-40 相关炎症途径介导一年缺血性中风复发和全因死亡率的复合结果：结构方程模型。。摘要要点：实际年龄是缺血性中风后不良预后的有力预测因素，但可能无法完全反映潜在的生物学脆弱性。这项研究调查了年龄相关的脑萎缩和血浆 YKL-40（星形胶质细胞炎症标志物）是否介导年龄与缺血性中风复发或全因死亡率的一年风险之间的关联。数据来自第三次中国脑卒中登记中心登记的 4,305 名参与者。使用基于深度学习的自动化流程 (FastSurfer) 从结构 T1 加权 MRI 中量化基线脑萎缩，产生半球皮质和白质体积，将其建模为潜在萎缩结构的指标。应用结构方程模型来估计连接年龄、脑萎缩、YKL-40 和一年综合结果的直接和间接途径，调整性别、心房颤动或扑动、高血压和糖尿病，并使用 5,000 个引导重采样评估间接影响。年龄对一年结果的总影响并不显着（β = -0.011；95% CI，- 0.060 至 0.038），而总间接影响却显着（β = 0.028；95% CI，0.005-0.050）。调节主要归因于 YKL-40（β = 0.026；95% CI，0.010-0.041），而脑萎缩的独立贡献很小。间接效应约占总效应的255%，表明直接效应和间接效应反向作用的抑制型中介模式。</w:t>
            </w:r>
          </w:p>
          <w:p>
            <w:pPr>
              <w:spacing w:after="0" w:before="80"/>
            </w:pPr>
            <w:hyperlink w:history="1" r:id="rIdascvwvukj4bewlnrdkvav">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2026-07-18</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王拥军｜首都医科大学附属北京天坛医院</w:t>
            </w:r>
          </w:p>
          <w:p>
            <w:pPr>
              <w:spacing w:after="70" w:before="0" w:line="340"/>
            </w:pPr>
            <w:r>
              <w:rPr>
                <w:rFonts w:ascii="Microsoft YaHei UI" w:cs="Microsoft YaHei UI" w:eastAsia="Microsoft YaHei UI" w:hAnsi="Microsoft YaHei UI"/>
                <w:b/>
                <w:bCs/>
                <w:color w:val="152625"/>
                <w:sz w:val="22"/>
                <w:szCs w:val="22"/>
              </w:rPr>
              <w:t xml:space="preserve">年龄相关性脑萎缩通过 YKL-40 相关炎症途径介导一年缺血性中风复发和全因死亡率的复合结果：结构方程模型。</w:t>
            </w:r>
          </w:p>
          <w:p>
            <w:pPr>
              <w:spacing w:after="0" w:before="0" w:line="320"/>
            </w:pPr>
            <w:r>
              <w:rPr>
                <w:rFonts w:ascii="Microsoft YaHei UI" w:cs="Microsoft YaHei UI" w:eastAsia="Microsoft YaHei UI" w:hAnsi="Microsoft YaHei UI"/>
                <w:color w:val="5F706E"/>
                <w:sz w:val="20"/>
                <w:szCs w:val="20"/>
              </w:rPr>
              <w:t xml:space="preserve">研究主题：年龄相关性脑萎缩通过 YKL-40 相关炎症途径介导一年缺血性中风复发和全因死亡率的复合结果：结构方程模型。。摘要要点：实际年龄是缺血性中风后不良预后的有力预测因素，但可能无法完全反映潜在的生物学脆弱性。这项研究调查了年龄相关的脑萎缩和血浆 YKL-40（星形胶质细胞炎症标志物）是否介导年龄与缺血性中风复发或全因死亡率的一年风险之间的关联。数据来自第三次中国脑卒中登记中心登记的 4,305 名参与者。使用基于深度学习的自动化流程 (FastSurfer) 从结构 T1 加权 MRI 中量化基线脑萎缩，产生半球皮质和白质体积，将其建模为潜在萎缩结构的指标。应用结构方程模型来估计连接年龄、脑萎缩、YKL-40 和一年综合结果的直接和间接途径，调整性别、心房颤动或扑动、高血压和糖尿病，并使用 5,000 个引导重采样评估间接影响。年龄对一年结果的总影响并不显着（β = -0.011；95% CI，- 0.060 至 0.038），而总间接影响却显着（β = 0.028；95% CI，0.005-0.050）。调节主要归因于 YKL-40（β = 0.026；95% CI，0.010-0.041），而脑萎缩的独立贡献很小。间接效应约占总效应的255%，表明直接效应和间接效应反向作用的抑制型中介模式。</w:t>
            </w:r>
          </w:p>
          <w:p>
            <w:pPr>
              <w:spacing w:after="0" w:before="80"/>
            </w:pPr>
            <w:hyperlink w:history="1" r:id="rIdubld2f5yhv5-v2cjlg_0v">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2026-07-17</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王继光｜上海交通大学医学院附属瑞金医院</w:t>
            </w:r>
          </w:p>
          <w:p>
            <w:pPr>
              <w:spacing w:after="70" w:before="0" w:line="340"/>
            </w:pPr>
            <w:r>
              <w:rPr>
                <w:rFonts w:ascii="Microsoft YaHei UI" w:cs="Microsoft YaHei UI" w:eastAsia="Microsoft YaHei UI" w:hAnsi="Microsoft YaHei UI"/>
                <w:b/>
                <w:bCs/>
                <w:color w:val="152625"/>
                <w:sz w:val="22"/>
                <w:szCs w:val="22"/>
              </w:rPr>
              <w:t xml:space="preserve">高动脉僵硬度患者肾功能下降对强化门诊血压降低的依赖性：随机对照试验的事后分析。</w:t>
            </w:r>
          </w:p>
          <w:p>
            <w:pPr>
              <w:spacing w:after="0" w:before="0" w:line="320"/>
            </w:pPr>
            <w:r>
              <w:rPr>
                <w:rFonts w:ascii="Microsoft YaHei UI" w:cs="Microsoft YaHei UI" w:eastAsia="Microsoft YaHei UI" w:hAnsi="Microsoft YaHei UI"/>
                <w:color w:val="5F706E"/>
                <w:sz w:val="20"/>
                <w:szCs w:val="20"/>
              </w:rPr>
              <w:t xml:space="preserve">研究主题：高动脉僵硬度患者肾功能下降对强化门诊血压降低的依赖性：随机对照试验的事后分析。。摘要要点：背景：尽管有心血管益处，但强化血压（BP）降低会增加急性肾损伤的风险。我们研究了治疗引起的血压变化与肾功能下降之间的关联，同时考虑了动脉僵硬度。方法：这项事后分析纳入了一项为期 20 周的双盲试验中接受钙通道阻滞剂治疗的 266 名高血压患者。肾功能障碍定义为估计肾小球滤过率（eGFR）&lt;60 ml/min·1.73 m2 或较基线下降≥30%。动脉僵硬度以臂踝脉搏波速度（baPWV）来测量。结果：基线时，收缩压/舒张压（平均值±SD，153.2±9.3/91.8±9.5 mmHg）与血清肌酐（72.1±16.2）呈正相关（r = 0.20 [95% CI，0.09 至 0.32]/0.23 [95% CI，0.11 至 0.34]）。μmol/l)，与 eGFR (91.6±13.8 ml/min·1.73 m2) 成反比 (r=-0.25 [95% CI，-0.36 至 -0.14]/-0.16 [95% CI，-0.28 至 -0.04])。随着baPWV升高，与临床收缩压的相关性减弱，在三分位数1和2（r≥0.30或≤-0.27）中观察到，但在三分位数3中观察不到。治疗20周后，baPWV的三分位数1、2和3中肾功能不全的发生率分别为0%、4.8%和6.4%（比值比）对于三分位数 3 与三分位数 1，为 2.23 [95% CI，0.84-5.95]）。</w:t>
            </w:r>
          </w:p>
          <w:p>
            <w:pPr>
              <w:spacing w:after="0" w:before="80"/>
            </w:pPr>
            <w:hyperlink w:history="1" r:id="rIdbbsk4ddnnevkl7ldvgxrb">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2026-07-17</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范玉华｜中山大学附属第一医院</w:t>
            </w:r>
          </w:p>
          <w:p>
            <w:pPr>
              <w:spacing w:after="70" w:before="0" w:line="340"/>
            </w:pPr>
            <w:r>
              <w:rPr>
                <w:rFonts w:ascii="Microsoft YaHei UI" w:cs="Microsoft YaHei UI" w:eastAsia="Microsoft YaHei UI" w:hAnsi="Microsoft YaHei UI"/>
                <w:b/>
                <w:bCs/>
                <w:color w:val="152625"/>
                <w:sz w:val="22"/>
                <w:szCs w:val="22"/>
              </w:rPr>
              <w:t xml:space="preserve">STAT6 靶向自噬途径来调节脑小血管疾病引起的认知障碍中的小胶质细胞衰老。</w:t>
            </w:r>
          </w:p>
          <w:p>
            <w:pPr>
              <w:spacing w:after="0" w:before="0" w:line="320"/>
            </w:pPr>
            <w:r>
              <w:rPr>
                <w:rFonts w:ascii="Microsoft YaHei UI" w:cs="Microsoft YaHei UI" w:eastAsia="Microsoft YaHei UI" w:hAnsi="Microsoft YaHei UI"/>
                <w:color w:val="5F706E"/>
                <w:sz w:val="20"/>
                <w:szCs w:val="20"/>
              </w:rPr>
              <w:t xml:space="preserve">研究主题：STAT6 靶向自噬途径来调节脑小血管疾病引起的认知障碍中的小胶质细胞衰老。。摘要要点：脑小血管疾病（CSVD）是血管性认知障碍（VCI）的主要病因，由细胞衰老和神经炎症等病理过程驱动。其中，小胶质细胞（大脑的特殊免疫细胞）在衰老过程中驱动神经炎症方面发挥着关键作用，从而加剧认知功能障碍。尽管信号转导器和转录激活剂 6 (STAT6) 的激活与缓解脑小血管病的神经炎症和认知缺陷有关，但其潜在机制仍不清楚。本研究旨在阐明STAT6和自噬在CSVD诱导的小胶质细胞衰老过程中的作用。使用易中风的肾血管性高血压大鼠 (RHRSP) 和慢性缺氧处理的 BV2 细胞来评估认知功能、小胶质细胞衰老和自噬，我们观察到磷酸化介导的 STAT6 激活显着抑制小胶质细胞衰老。从机制上讲，我们发现磷酸化 STAT6 (pSTAT6) 增强自噬，从而减轻衰老小胶质细胞的负担，从而改善 CSVD 诱导的 VCI。这些发现为针对 STAT6 通路在与 CSVD 相关的 VCI 中的潜力提供了见解。</w:t>
            </w:r>
          </w:p>
          <w:p>
            <w:pPr>
              <w:spacing w:after="0" w:before="80"/>
            </w:pPr>
            <w:hyperlink w:history="1" r:id="rIdhrfaqic1rgaqubev2jjhj">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2026-07-16</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窦克非｜中国医学科学院阜外医院</w:t>
            </w:r>
          </w:p>
          <w:p>
            <w:pPr>
              <w:spacing w:after="70" w:before="0" w:line="340"/>
            </w:pPr>
            <w:r>
              <w:rPr>
                <w:rFonts w:ascii="Microsoft YaHei UI" w:cs="Microsoft YaHei UI" w:eastAsia="Microsoft YaHei UI" w:hAnsi="Microsoft YaHei UI"/>
                <w:b/>
                <w:bCs/>
                <w:color w:val="152625"/>
                <w:sz w:val="22"/>
                <w:szCs w:val="22"/>
              </w:rPr>
              <w:t xml:space="preserve">中重度冠状动脉钙化患者心血管-肾脏-代谢危险因素和预后的性别差异的机器学习分析：前瞻性队列研究。</w:t>
            </w:r>
          </w:p>
          <w:p>
            <w:pPr>
              <w:spacing w:after="0" w:before="0" w:line="320"/>
            </w:pPr>
            <w:r>
              <w:rPr>
                <w:rFonts w:ascii="Microsoft YaHei UI" w:cs="Microsoft YaHei UI" w:eastAsia="Microsoft YaHei UI" w:hAnsi="Microsoft YaHei UI"/>
                <w:color w:val="5F706E"/>
                <w:sz w:val="20"/>
                <w:szCs w:val="20"/>
              </w:rPr>
              <w:t xml:space="preserve">研究主题：中重度冠状动脉钙化患者心血管-肾脏-代谢危险因素和预后的性别差异的机器学习分析：前瞻性队列研究。。摘要要点：背景：冠状动脉钙化患者在临床表现上表现出显着的性别差异，特别是在心血管-肾脏-代谢（CKM）危险因素的作用及其对预后的影响方面。然而，这些性别差异的确切性质仍不完全清楚。目的：本研究旨在调查中重度冠状动脉钙化（MSCAC）患者中 CKM 危险因素的性别差异，并阐明其与不良临床结果的关联。方法：共有 2418 名接受首次经皮冠状动脉介入治疗的 MSCAC 患者纳入研究。计算风险比 (HR) 以评估各种 CKM 危险因素的预后意义的性别差异，包括慢性肾病 (CKD)、糖尿病 (DM)、肥胖、高血压和高甘油三酯血症。构建了四种机器学习模型——逻辑回归、极限梯度提升（XGBoost）、随机森林和支持向量机——来预测不良事件。使用 Shapley 附加解释 (SHAP) 值对表现最佳的模型进行解释，以确定 CKM 风险因素的相对重要性并澄清潜在的性别差异。主要不良心血管事件（MACE）被定义为全因死亡率、非致命性心肌梗死和非计划重复血运重建。结果：在参与者中，86.9%（2101/2418）有≥1个CKM危险因素，而3.1%（74/2418）有≥4个危险因素。在女性患者（HR 2.65，95% CI 1.50-4.69）和男性患者（HR 1.53，95% CI 1.02-2.60）中，CKD 与 MACE 的发生独立相关。</w:t>
            </w:r>
          </w:p>
          <w:p>
            <w:pPr>
              <w:spacing w:after="0" w:before="80"/>
            </w:pPr>
            <w:hyperlink w:history="1" r:id="rIdieq4pcuv1obekpksnjki0">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2026-07-15</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蒋青｜南京鼓楼医院</w:t>
            </w:r>
          </w:p>
          <w:p>
            <w:pPr>
              <w:spacing w:after="70" w:before="0" w:line="340"/>
            </w:pPr>
            <w:r>
              <w:rPr>
                <w:rFonts w:ascii="Microsoft YaHei UI" w:cs="Microsoft YaHei UI" w:eastAsia="Microsoft YaHei UI" w:hAnsi="Microsoft YaHei UI"/>
                <w:b/>
                <w:bCs/>
                <w:color w:val="152625"/>
                <w:sz w:val="22"/>
                <w:szCs w:val="22"/>
              </w:rPr>
              <w:t xml:space="preserve">髋部假体周围骨折患者术前深静脉血栓发生率及危险因素分析</w:t>
            </w:r>
          </w:p>
          <w:p>
            <w:pPr>
              <w:spacing w:after="0" w:before="0" w:line="320"/>
            </w:pPr>
            <w:r>
              <w:rPr>
                <w:rFonts w:ascii="Microsoft YaHei UI" w:cs="Microsoft YaHei UI" w:eastAsia="Microsoft YaHei UI" w:hAnsi="Microsoft YaHei UI"/>
                <w:color w:val="5F706E"/>
                <w:sz w:val="20"/>
                <w:szCs w:val="20"/>
              </w:rPr>
              <w:t xml:space="preserve">研究主题：髋部假体周围骨折患者术前深静脉血栓发生率及危险因素分析。摘要要点：目的：探讨髋部假体周围骨折患者术前深静脉血栓（DVT）的发生率及危险因素。方法：这项回顾性临床队列研究纳入了 2016 年 1 月至 2025 年 12 月期间符合预定纳入和排除标准的 95 名假体周围髋部骨折患者。该队列包括 28 名男性和 67 名女性，平均年龄为 72.9 岁（范围为 39-96 岁）。按温哥华分型，A型1例，B1型32例，B2型59例，B3型1例，C型2例。受伤至入院时间1～150 d，平均10.9 d。所有患者均接受双侧下肢静脉超声检查以进行术前 DVT 筛查。根据超声检查结果将患者分为 DVT 阳性组和 DVT 阴性组。采用单变量分析比较人口统计学数据（年龄、性别）、潜在合并症（高血压、糖尿病、冠状动脉粥样硬化性心脏病、脑梗死等）、温哥华骨折类型、受伤至入院时间间隔以及实验室指标（凝血酶原时间、活化部分凝血活酶时间、凝血酶时间、国际标准化比值、D-二聚体、纤维蛋白原、血红蛋白、红细胞计数、血细胞比容、两组之间的血小板计数、血清白蛋白、甘油三酯、总胆固醇、载脂蛋白、高密度脂蛋白胆固醇和低密度脂蛋白胆固醇）。通过logistic回归分析进一步筛选假体周围骨折术前发生DVT的危险因素。结果：假体周围髋部骨折患者术前 DVT 总体患病率为 28.42%（27/95）。按血栓部位分层亚组分析显示，近端 DVT 1 例（1.05%），中轴型 DVT 2 例（2.</w:t>
            </w:r>
          </w:p>
          <w:p>
            <w:pPr>
              <w:spacing w:after="0" w:before="80"/>
            </w:pPr>
            <w:hyperlink w:history="1" r:id="rIdiplm_okv-lims_2mle8hs">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缬沙坦 / valsartan / C24H29N5O3（26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苯磺酸氨氯地平 / amlodipine besylate / C26H31ClN2O8S（18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硝苯地平 / nifedipine / C17H18N2O6（10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替米沙坦 / telmisartan / C33H30N4O2（9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左氨氯地平苯磺酸盐 / levamlodipine besylate / C26H31ClN2O8S（1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奥美沙坦酯 / olmesartan medoxomil / C29H30N6O6（1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盐酸乐卡地平 / lercanidipine hydrochloride / C36H42ClN3O6（1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跟踪 ARB/CCB 单片复方研究和真实世界依从性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核对特殊人群中的血压终点与不良反应</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补充长效平稳降压和联合治疗的医学证据</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络活喜 | 2026年7月产品情报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t0nzia0i1owot2xgnp4s" Type="http://schemas.openxmlformats.org/officeDocument/2006/relationships/hyperlink" Target="https://clinicaltrials.gov/study/NCT07704697" TargetMode="External"/><Relationship Id="rIdtfg6sley3aucnhki2bxyu" Type="http://schemas.openxmlformats.org/officeDocument/2006/relationships/hyperlink" Target="https://clinicaltrials.gov/study/NCT07704684" TargetMode="External"/><Relationship Id="rIdgfmmbcsogd2p7zoxgfooi" Type="http://schemas.openxmlformats.org/officeDocument/2006/relationships/hyperlink" Target="https://clinicaltrials.gov/study/NCT07687160" TargetMode="External"/><Relationship Id="rIdz4w2-oxoef5ru7by_hbti" Type="http://schemas.openxmlformats.org/officeDocument/2006/relationships/hyperlink" Target="https://clinicaltrials.gov/study/NCT07683585" TargetMode="External"/><Relationship Id="rIdgjuu6mk2eywm94kk9vevu" Type="http://schemas.openxmlformats.org/officeDocument/2006/relationships/hyperlink" Target="https://clinicaltrials.gov/study/NCT05687344" TargetMode="External"/><Relationship Id="rId3xljulj0tvlnnyvhxgwqw" Type="http://schemas.openxmlformats.org/officeDocument/2006/relationships/hyperlink" Target="https://clinicaltrials.gov/study/NCT04298034" TargetMode="External"/><Relationship Id="rIdg2gyutofhi9-uc08sjuho" Type="http://schemas.openxmlformats.org/officeDocument/2006/relationships/hyperlink" Target="https://clinicaltrials.gov/study/NCT07700875" TargetMode="External"/><Relationship Id="rIdcxfxw-v0imfuzxhs7nbct" Type="http://schemas.openxmlformats.org/officeDocument/2006/relationships/hyperlink" Target="https://pubmed.ncbi.nlm.nih.gov/42215366/" TargetMode="External"/><Relationship Id="rIdascvwvukj4bewlnrdkvav" Type="http://schemas.openxmlformats.org/officeDocument/2006/relationships/hyperlink" Target="https://pubmed.ncbi.nlm.nih.gov/42470512/" TargetMode="External"/><Relationship Id="rIdubld2f5yhv5-v2cjlg_0v" Type="http://schemas.openxmlformats.org/officeDocument/2006/relationships/hyperlink" Target="https://pubmed.ncbi.nlm.nih.gov/42470512/" TargetMode="External"/><Relationship Id="rIdbbsk4ddnnevkl7ldvgxrb" Type="http://schemas.openxmlformats.org/officeDocument/2006/relationships/hyperlink" Target="https://pubmed.ncbi.nlm.nih.gov/42467840/" TargetMode="External"/><Relationship Id="rIdhrfaqic1rgaqubev2jjhj" Type="http://schemas.openxmlformats.org/officeDocument/2006/relationships/hyperlink" Target="https://pubmed.ncbi.nlm.nih.gov/42467351/" TargetMode="External"/><Relationship Id="rIdieq4pcuv1obekpksnjki0" Type="http://schemas.openxmlformats.org/officeDocument/2006/relationships/hyperlink" Target="https://pubmed.ncbi.nlm.nih.gov/42462211/" TargetMode="External"/><Relationship Id="rIdiplm_okv-lims_2mle8hs" Type="http://schemas.openxmlformats.org/officeDocument/2006/relationships/hyperlink" Target="https://pubmed.ncbi.nlm.nih.gov/42464540/"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2026年7月络活喜关注报告</dc:title>
  <dc:creator>Codex</dc:creator>
  <cp:lastModifiedBy>Un-named</cp:lastModifiedBy>
  <cp:revision>1</cp:revision>
  <dcterms:created xsi:type="dcterms:W3CDTF">2026-08-10T06:03:21.096Z</dcterms:created>
  <dcterms:modified xsi:type="dcterms:W3CDTF">2026-08-10T06:03:21.096Z</dcterms:modified>
</cp:coreProperties>
</file>

<file path=docProps/custom.xml><?xml version="1.0" encoding="utf-8"?>
<Properties xmlns="http://schemas.openxmlformats.org/officeDocument/2006/custom-properties" xmlns:vt="http://schemas.openxmlformats.org/officeDocument/2006/docPropsVTypes"/>
</file>