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西乐葆｜2026年8月关注报告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34</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8月值得看塞来昔布膝骨关节炎分析与围术期镇痛研究，不能把不同疼痛场景的结论直接互换。</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34 条有效产品/竞品进展，其中 0 条建议跟进、1 条为高证据。优先记录包括《塞来昔布联合加巴喷丁治疗鼻咽癌头面部疼痛的有效性与安全性：一项回顾性队列研究。》、《依托考昔注射给药镇痛效果的前瞻性真实世界评估（RAPID研究）。》。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优先查看非 NSAID 竞品；泰诺/必理通、NSAID 竞品；扶他林、潜在竞品；Journavx、NSAID 竞品；萘普生，并把同一研究在不同检索路径下的重复命中合并判断。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新型镇痛机制与经典 NSAID 的安全性比较会直接影响西乐葆在慢性疼痛和围术期场景中的选择理由。</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优先核对关节炎和围术期研究的疗效终点；持续监测 GI、CV 和肾脏安全性；对比 Journavx 等非阿片新机制的适应症和证据成熟度。</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2026-08-23</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塞来昔布联合加巴喷丁治疗鼻咽癌头面部疼痛的有效性与安全性：一项回顾性队列研究。</w:t>
            </w:r>
          </w:p>
          <w:p>
            <w:pPr>
              <w:spacing w:after="0" w:before="0" w:line="320"/>
            </w:pPr>
            <w:r>
              <w:rPr>
                <w:rFonts w:ascii="Microsoft YaHei UI" w:cs="Microsoft YaHei UI" w:eastAsia="Microsoft YaHei UI" w:hAnsi="Microsoft YaHei UI"/>
                <w:color w:val="5F706E"/>
                <w:sz w:val="20"/>
                <w:szCs w:val="20"/>
              </w:rPr>
              <w:t xml:space="preserve">论文内容：背景：鼻咽癌（NPC）局部侵犯引发的头面部疼痛程度极为剧烈，传统采用阿片类药物治疗，而该类药物存在显著的依赖性与耐受性风险。由于此类肿瘤相关性疼痛本质上同时涉及神经病理性通路与炎症通路，本研究回顾性评估了一种联合塞来昔布与加巴喷丁的新型阿片类药物节俭镇痛方案。方法：本探索性回顾性队列分析纳入60例新确诊的NPC患者，均存在因颅神经或颅底侵犯继发的重度头面部疼痛。患者分别接受阿片类药物单药治疗（缓释羟考酮，n=30）或塞来昔布联合加巴喷丁的方案（n=30）。主要终点为给药后48小时数字评分量表（NRS）评分的绝对下降值。次要终点包括通过失眠严重程度指数（ISI）评估的睡眠质量改善情况及不良事件。</w:t>
            </w:r>
          </w:p>
          <w:p>
            <w:pPr>
              <w:spacing w:after="0" w:before="80"/>
            </w:pPr>
            <w:hyperlink w:history="1" r:id="rIdnqzr_hrqb4yyu5ccucgrv">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本品/同成分；西乐葆/Celebrex</w:t>
            </w:r>
          </w:p>
          <w:p>
            <w:pPr>
              <w:spacing w:after="0" w:before="0" w:line="320"/>
            </w:pPr>
            <w:r>
              <w:rPr>
                <w:rFonts w:ascii="Microsoft YaHei UI" w:cs="Microsoft YaHei UI" w:eastAsia="Microsoft YaHei UI" w:hAnsi="Microsoft YaHei UI"/>
                <w:color w:val="152625"/>
                <w:sz w:val="20"/>
                <w:szCs w:val="20"/>
              </w:rPr>
              <w:t xml:space="preserve">该文涉及塞来昔布及西乐葆的本品/同成分追踪路径；应依据原文研究人群、终点与研究设计判断临床适用性，不把题名当作疗效结论。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依托考昔注射给药镇痛效果的前瞻性真实世界评估（RAPID研究）。</w:t>
            </w:r>
          </w:p>
          <w:p>
            <w:pPr>
              <w:spacing w:after="0" w:before="0" w:line="320"/>
            </w:pPr>
            <w:r>
              <w:rPr>
                <w:rFonts w:ascii="Microsoft YaHei UI" w:cs="Microsoft YaHei UI" w:eastAsia="Microsoft YaHei UI" w:hAnsi="Microsoft YaHei UI"/>
                <w:color w:val="5F706E"/>
                <w:sz w:val="20"/>
                <w:szCs w:val="20"/>
              </w:rPr>
              <w:t xml:space="preserve">论文内容：背景：急性疼痛在常规临床实践中常得不到充分控制，尤其当口服镇痛给药延迟或不可行时。肌内注射（IM）依托考昔为快速镇痛提供了一种肠外给药选择，但目前针对不同急性疼痛病症的前瞻性真实世界证据仍较为有限。目的：主要研究目的为采用数字疼痛评分量表（NPRS）评估从基线到预设注射后各时间点的疼痛强度变化。次要研究目的包括医师对镇痛效果的总体评估，以及基于报告的不良事件开展的耐受性评估。该研究结果有望进一步夯实肌内注射（IM）依托考昔的临床证据基础，并为其纳入印度医疗环境下的急性疼痛管理路径提供参考。方法：这项多中心、非对照、前瞻性观察性研究在印度的68个研究点开展。</w:t>
            </w:r>
          </w:p>
          <w:p>
            <w:pPr>
              <w:spacing w:after="0" w:before="80"/>
            </w:pPr>
            <w:hyperlink w:history="1" r:id="rIdpjrchofhwvfzxa-xwrs3f">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直接竞品；Arcoxia</w:t>
            </w:r>
          </w:p>
          <w:p>
            <w:pPr>
              <w:spacing w:after="0" w:before="0" w:line="320"/>
            </w:pPr>
            <w:r>
              <w:rPr>
                <w:rFonts w:ascii="Microsoft YaHei UI" w:cs="Microsoft YaHei UI" w:eastAsia="Microsoft YaHei UI" w:hAnsi="Microsoft YaHei UI"/>
                <w:color w:val="152625"/>
                <w:sz w:val="20"/>
                <w:szCs w:val="20"/>
              </w:rPr>
              <w:t xml:space="preserve">该文涉及依托考昔及西乐葆的直接竞品追踪路径；应依据原文研究人群、终点与研究设计判断临床适用性，不把题名当作疗效结论。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表型因素与塞来昔布在膝关节OA中的疗效：两项随机、双盲、安慰剂对照试验的事后汇总分析。</w:t>
            </w:r>
          </w:p>
          <w:p>
            <w:pPr>
              <w:spacing w:after="0" w:before="0" w:line="320"/>
            </w:pPr>
            <w:r>
              <w:rPr>
                <w:rFonts w:ascii="Microsoft YaHei UI" w:cs="Microsoft YaHei UI" w:eastAsia="Microsoft YaHei UI" w:hAnsi="Microsoft YaHei UI"/>
                <w:color w:val="5F706E"/>
                <w:sz w:val="20"/>
                <w:szCs w:val="20"/>
              </w:rPr>
              <w:t xml:space="preserve">论文内容：引言：膝关节骨关节炎（OA）是全球范围内导致残疾的主要原因，对女性和肥胖人群的影响尤为显著。治疗应答可能因性别和体重指数（BMI）而异。本研究以第6周视觉模拟评分（VAS）疼痛评分较基线的变化为主要终点，评估膝关节OA患者中塞来昔布的疼痛缓解效果是否因性别（男性对比女性）或BMI（肥胖≥30 kg/m²对比非肥胖&lt;30 kg/m²）而存在差异。方法：本事后汇总分析纳入两项随机、双盲、安慰剂对照试验（NH49-96-02-060；NH49-98-02-087）。膝关节OA急性发作且基线VAS疼痛评分≥40 mm的成人患者接受为期6周的安慰剂、100 mg塞来昔布每日两次（BID）或200 mg塞来昔布每日一次（OD）治疗。</w:t>
            </w:r>
          </w:p>
          <w:p>
            <w:pPr>
              <w:spacing w:after="0" w:before="80"/>
            </w:pPr>
            <w:hyperlink w:history="1" r:id="rIdwrxcsskyuvvp6lrwh4kw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本品/同成分；西乐葆/Celebrex</w:t>
            </w:r>
          </w:p>
          <w:p>
            <w:pPr>
              <w:spacing w:after="0" w:before="0" w:line="320"/>
            </w:pPr>
            <w:r>
              <w:rPr>
                <w:rFonts w:ascii="Microsoft YaHei UI" w:cs="Microsoft YaHei UI" w:eastAsia="Microsoft YaHei UI" w:hAnsi="Microsoft YaHei UI"/>
                <w:color w:val="152625"/>
                <w:sz w:val="20"/>
                <w:szCs w:val="20"/>
              </w:rPr>
              <w:t xml:space="preserve">该文涉及塞来昔布及西乐葆的本品/同成分追踪路径；应依据原文研究人群、终点与研究设计判断临床适用性，不把题名当作疗效结论。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0B5C55"/>
                <w:sz w:val="18"/>
                <w:szCs w:val="18"/>
              </w:rPr>
              <w:t xml:space="preserve">高证据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胰蛋白酶-糜蛋白酶与萘普生钠用于根管治疗后疼痛的比较：一项随机对照试验。</w:t>
            </w:r>
          </w:p>
          <w:p>
            <w:pPr>
              <w:spacing w:after="0" w:before="0" w:line="320"/>
            </w:pPr>
            <w:r>
              <w:rPr>
                <w:rFonts w:ascii="Microsoft YaHei UI" w:cs="Microsoft YaHei UI" w:eastAsia="Microsoft YaHei UI" w:hAnsi="Microsoft YaHei UI"/>
                <w:color w:val="5F706E"/>
                <w:sz w:val="20"/>
                <w:szCs w:val="20"/>
              </w:rPr>
              <w:t xml:space="preserve">论文内容：未标注：目的：比较胰蛋白酶-糜蛋白酶与萘普生钠用于根管治疗后疼痛的疗效及平均疼痛评分。研究设计：一项随机对照试验。研究地点与时长：巴基斯坦卡拉奇市杜瓦健康科学大学Ishrat-ul-Ibad Khan口腔健康科学研究所牙体牙髓病学系，研究时间为2024年8月至2025年1月。方法：共100例患者被随机分配至胰蛋白酶-糜蛋白酶组（n=50）或萘普生钠组（n=50），接受口服制剂治疗。采用数字评分量表（NRS）分别于术后1小时、6小时、12小时及24小时评估疼痛评分。术前与术后的比较采用Mann-Whitney U检验，年龄与性别分层分析分别采用独立样本t检验与卡方检验。结果：两组的基线特征及术前疼痛情况无显著差异（p&gt;0.</w:t>
            </w:r>
          </w:p>
          <w:p>
            <w:pPr>
              <w:spacing w:after="0" w:before="80"/>
            </w:pPr>
            <w:hyperlink w:history="1" r:id="rIdfi-b4yelqvgfba1wp9ta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NSAID 竞品；萘普生</w:t>
            </w:r>
          </w:p>
          <w:p>
            <w:pPr>
              <w:spacing w:after="0" w:before="0" w:line="320"/>
            </w:pPr>
            <w:r>
              <w:rPr>
                <w:rFonts w:ascii="Microsoft YaHei UI" w:cs="Microsoft YaHei UI" w:eastAsia="Microsoft YaHei UI" w:hAnsi="Microsoft YaHei UI"/>
                <w:color w:val="152625"/>
                <w:sz w:val="20"/>
                <w:szCs w:val="20"/>
              </w:rPr>
              <w:t xml:space="preserve">该文涉及萘普生钠及西乐葆的NSAID 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依托考昔-倍他米松联合用药通过调节细胞因子与巨噬细胞轴缓解佐剂诱导型关节炎的炎性痛觉过敏和水肿</w:t>
            </w:r>
          </w:p>
          <w:p>
            <w:pPr>
              <w:spacing w:after="0" w:before="0" w:line="320"/>
            </w:pPr>
            <w:r>
              <w:rPr>
                <w:rFonts w:ascii="Microsoft YaHei UI" w:cs="Microsoft YaHei UI" w:eastAsia="Microsoft YaHei UI" w:hAnsi="Microsoft YaHei UI"/>
                <w:color w:val="5F706E"/>
                <w:sz w:val="20"/>
                <w:szCs w:val="20"/>
              </w:rPr>
              <w:t xml:space="preserve">论文内容：背景/目的：急性炎症发作需要快速控制症状，同时限制全身暴露。我们评估了选择性环氧化酶-2（COX-2）抑制剂依托考昔与皮质类固醇倍他米松的联合治疗在完全弗氏佐剂诱导的关节炎（AIA）大鼠模型中是否具有抗伤害性感受和抗水肿活性。方法：将雄性Wistar大鼠（每组n=10）分为7组：正常组、AIA疾病对照组、吲哚美辛5 mg/kg组、依托考昔8 mg/kg组、倍他米松0.022 mg/kg组、低剂量联合组（4 + 0.011 mg/kg）和全剂量联合组（8 + 0.022 mg/kg），从第4天至第28天每日一次口服给药。对爪水肿、von Frey缩爪阈值和临床关节炎评分进行纵向评估，以曲线下面积（AUC）值表示。</w:t>
            </w:r>
          </w:p>
          <w:p>
            <w:pPr>
              <w:spacing w:after="0" w:before="80"/>
            </w:pPr>
            <w:hyperlink w:history="1" r:id="rIdfwlkyw8m0afxlznrhgof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直接竞品；Arcoxia</w:t>
            </w:r>
          </w:p>
          <w:p>
            <w:pPr>
              <w:spacing w:after="0" w:before="0" w:line="320"/>
            </w:pPr>
            <w:r>
              <w:rPr>
                <w:rFonts w:ascii="Microsoft YaHei UI" w:cs="Microsoft YaHei UI" w:eastAsia="Microsoft YaHei UI" w:hAnsi="Microsoft YaHei UI"/>
                <w:color w:val="152625"/>
                <w:sz w:val="20"/>
                <w:szCs w:val="20"/>
              </w:rPr>
              <w:t xml:space="preserve">该文涉及依托考昔及西乐葆的直接竞品追踪路径；应依据原文研究人群、终点与研究设计判断临床适用性，不把题名当作疗效结论。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帕瑞昔布钠超前镇痛缓解早期食管癌及癌前病变内镜黏膜下剥离术后短期疼痛：一项单中心、双组随机对照研究。</w:t>
            </w:r>
          </w:p>
          <w:p>
            <w:pPr>
              <w:spacing w:after="0" w:before="0" w:line="320"/>
            </w:pPr>
            <w:r>
              <w:rPr>
                <w:rFonts w:ascii="Microsoft YaHei UI" w:cs="Microsoft YaHei UI" w:eastAsia="Microsoft YaHei UI" w:hAnsi="Microsoft YaHei UI"/>
                <w:color w:val="5F706E"/>
                <w:sz w:val="20"/>
                <w:szCs w:val="20"/>
              </w:rPr>
              <w:t xml:space="preserve">论文内容：引言：内镜黏膜下剥离术（ESD）是早期食管癌及癌前病变的首选治疗方案。术后疼痛是一个普遍存在但常被忽视的问题。本研究探讨了超前使用帕瑞昔布钠对接受ESD治疗的早期食管癌及癌前病变患者的镇痛效果和安全性。方法：纳入计划在全身麻醉下接受ESD的患者，将其随机分配至药物组（术前30分钟静脉注射帕瑞昔布钠）或对照组（术前30分钟静脉注射4 mL生理盐水）。收集了临床数据，包括围手术期超敏C反应蛋白、IL-6的血清水平、全血细胞计数及生化参数。术后6、12、24、72和120小时采用视觉模拟评分法（VAS）评估术后疼痛强度。结果：共纳入78例患者（帕瑞昔布组40例，对照组38例）。</w:t>
            </w:r>
          </w:p>
          <w:p>
            <w:pPr>
              <w:spacing w:after="0" w:before="80"/>
            </w:pPr>
            <w:hyperlink w:history="1" r:id="rId8u0f7ozt2npwjezyqslls">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直接竞品；Dynastat</w:t>
            </w:r>
          </w:p>
          <w:p>
            <w:pPr>
              <w:spacing w:after="0" w:before="0" w:line="320"/>
            </w:pPr>
            <w:r>
              <w:rPr>
                <w:rFonts w:ascii="Microsoft YaHei UI" w:cs="Microsoft YaHei UI" w:eastAsia="Microsoft YaHei UI" w:hAnsi="Microsoft YaHei UI"/>
                <w:color w:val="152625"/>
                <w:sz w:val="20"/>
                <w:szCs w:val="20"/>
              </w:rPr>
              <w:t xml:space="preserve">该文涉及帕瑞昔布钠及西乐葆的直接竞品追踪路径；应依据原文研究人群、终点与研究设计判断临床适用性，不把题名当作疗效结论。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普瑞巴林与萘普生多模式超前镇痛对开胸术后疼痛及阿片类药物用量的影响：一项随机临床试验。</w:t>
            </w:r>
          </w:p>
          <w:p>
            <w:pPr>
              <w:spacing w:after="0" w:before="0" w:line="320"/>
            </w:pPr>
            <w:r>
              <w:rPr>
                <w:rFonts w:ascii="Microsoft YaHei UI" w:cs="Microsoft YaHei UI" w:eastAsia="Microsoft YaHei UI" w:hAnsi="Microsoft YaHei UI"/>
                <w:color w:val="5F706E"/>
                <w:sz w:val="20"/>
                <w:szCs w:val="20"/>
              </w:rPr>
              <w:t xml:space="preserve">论文内容：目的：开胸手术会引发严重的术后疼痛，限制深呼吸与咳嗽动作，并可能延缓康复进程。以阿片类药物为核心的镇痛方案可能导致不良反应；超前多模式镇痛或可减轻中枢敏化并减少阿片类药物用量。方法：本研究为随机、阳性对照、评估者设盲试验（CTRI/2022/07/043800），纳入18~70岁、美国麻醉医师协会分级I~II级的开胸手术成年患者，按每组39例随机分配，分别于术前2小时口服普瑞巴林2.5 mg·kg⁻¹或口服萘普生7 mg·kg⁻¹（最大剂量500 mg）。所有患者均接受标准化全身麻醉联合胸段硬膜外镇痛。分别于术后2、6、12和24小时评估静息状态下及深呼吸、咳嗽时的数字评分量表（NRS）疼痛评分。</w:t>
            </w:r>
          </w:p>
          <w:p>
            <w:pPr>
              <w:spacing w:after="0" w:before="80"/>
            </w:pPr>
            <w:hyperlink w:history="1" r:id="rIdofuzw2orqusgao7ivtzqs">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NSAID 竞品；萘普生</w:t>
            </w:r>
          </w:p>
          <w:p>
            <w:pPr>
              <w:spacing w:after="0" w:before="0" w:line="320"/>
            </w:pPr>
            <w:r>
              <w:rPr>
                <w:rFonts w:ascii="Microsoft YaHei UI" w:cs="Microsoft YaHei UI" w:eastAsia="Microsoft YaHei UI" w:hAnsi="Microsoft YaHei UI"/>
                <w:color w:val="152625"/>
                <w:sz w:val="20"/>
                <w:szCs w:val="20"/>
              </w:rPr>
              <w:t xml:space="preserve">该文涉及萘普生钠及西乐葆的NSAID 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用于急性牙科疼痛的Suzetrigine（Journavx）：选择性Naᵥ1.8抑制剂在牙髓病学领域的首个临床病例系列。</w:t>
            </w:r>
          </w:p>
          <w:p>
            <w:pPr>
              <w:spacing w:after="0" w:before="0" w:line="320"/>
            </w:pPr>
            <w:r>
              <w:rPr>
                <w:rFonts w:ascii="Microsoft YaHei UI" w:cs="Microsoft YaHei UI" w:eastAsia="Microsoft YaHei UI" w:hAnsi="Microsoft YaHei UI"/>
                <w:color w:val="5F706E"/>
                <w:sz w:val="20"/>
                <w:szCs w:val="20"/>
              </w:rPr>
              <w:t xml:space="preserve">论文内容：引言：急诊牙科疼痛仍是一项重大临床挑战，许多患者存在中至重度疼痛，且无法通过非甾体抗炎药（NSAIDs）和对乙酰氨基酚得到充分控制。牙科临床中，症状性不可逆性牙髓炎病例的麻醉失败率较高，进一步加剧了这一问题。炎症介导的Naᵥ1.8钠通道上调会导致伤害性信号持续传导，同时引发局部麻醉失败。Suzetrigine（Journavx）是全球首创的选择性Naᵥ1.8抑制剂，已获批用于急性中重度疼痛，其通过靶向介导炎症性牙科疼痛的外周钠通道，提供了一种基于作用机制的治疗方案。</w:t>
            </w:r>
          </w:p>
          <w:p>
            <w:pPr>
              <w:spacing w:after="0" w:before="80"/>
            </w:pPr>
            <w:hyperlink w:history="1" r:id="rIdctmjelsdykpl0dq7avbvt">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潜在竞品；Journavx</w:t>
            </w:r>
          </w:p>
          <w:p>
            <w:pPr>
              <w:spacing w:after="0" w:before="0" w:line="320"/>
            </w:pPr>
            <w:r>
              <w:rPr>
                <w:rFonts w:ascii="Microsoft YaHei UI" w:cs="Microsoft YaHei UI" w:eastAsia="Microsoft YaHei UI" w:hAnsi="Microsoft YaHei UI"/>
                <w:color w:val="152625"/>
                <w:sz w:val="20"/>
                <w:szCs w:val="20"/>
              </w:rPr>
              <w:t xml:space="preserve">该文涉及苏泽曲吉及西乐葆的潜在竞品追踪路径；应依据原文研究人群、终点与研究设计判断临床适用性，不把题名当作疗效结论。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罗芳｜首都医科大学附属北京天坛医院</w:t>
            </w:r>
          </w:p>
          <w:p>
            <w:pPr>
              <w:spacing w:after="70" w:before="0" w:line="340"/>
            </w:pPr>
            <w:r>
              <w:rPr>
                <w:rFonts w:ascii="Microsoft YaHei UI" w:cs="Microsoft YaHei UI" w:eastAsia="Microsoft YaHei UI" w:hAnsi="Microsoft YaHei UI"/>
                <w:b/>
                <w:bCs/>
                <w:color w:val="152625"/>
                <w:sz w:val="22"/>
                <w:szCs w:val="22"/>
              </w:rPr>
              <w:t xml:space="preserve">混合手术后静脉自控镇痛的可变速率反馈输注和固定速率基础输注模式之间累积阿片类药物消耗量的比较：前瞻性随机对照试验方案。</w:t>
            </w:r>
          </w:p>
          <w:p>
            <w:pPr>
              <w:spacing w:after="0" w:before="0" w:line="320"/>
            </w:pPr>
            <w:r>
              <w:rPr>
                <w:rFonts w:ascii="Microsoft YaHei UI" w:cs="Microsoft YaHei UI" w:eastAsia="Microsoft YaHei UI" w:hAnsi="Microsoft YaHei UI"/>
                <w:color w:val="5F706E"/>
                <w:sz w:val="20"/>
                <w:szCs w:val="20"/>
              </w:rPr>
              <w:t xml:space="preserve">研究主题：混合手术后静脉自控镇痛的可变速率反馈输注和固定速率基础输注模式之间累积阿片类药物消耗量的比较：前瞻性随机对照试验方案。。摘要要点：简介：术后疼痛管理不善仍然是一个重大的临床挑战，常常导致活动延迟和并发症增加。虽然静脉患者自控镇痛 (PCA) 是主要治疗方法，但传统的固定速率基础输注模式可能与术后疼痛的双相波动性质不相符。这通常会导致镇痛不足或不必要的阿片类药物过量。先进的网络集成 PCA 泵现在允许“可变速率反馈输注”，可根据实时患者需求动态调整背景速率。本研究旨在确定可变速率反馈输注模式是否可以减少术后 48 小时的总累积阿片类药物消耗量，同时与固定速率基础输注模式相比，提供不较差的镇痛效果。方法和分析：这是一项在中国三家医院进行的多中心、随机、双盲对照试验。</w:t>
            </w:r>
          </w:p>
          <w:p>
            <w:pPr>
              <w:spacing w:after="0" w:before="80"/>
            </w:pPr>
            <w:hyperlink w:history="1" r:id="rId3t8bvacgipxqeisgeolpl">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周非非｜北京大学第三医院</w:t>
            </w:r>
          </w:p>
          <w:p>
            <w:pPr>
              <w:spacing w:after="70" w:before="0" w:line="340"/>
            </w:pPr>
            <w:r>
              <w:rPr>
                <w:rFonts w:ascii="Microsoft YaHei UI" w:cs="Microsoft YaHei UI" w:eastAsia="Microsoft YaHei UI" w:hAnsi="Microsoft YaHei UI"/>
                <w:b/>
                <w:bCs/>
                <w:color w:val="152625"/>
                <w:sz w:val="22"/>
                <w:szCs w:val="22"/>
              </w:rPr>
              <w:t xml:space="preserve">退行性颈椎后凸和狭窄患者后路手术后后凸进展的危险因素。</w:t>
            </w:r>
          </w:p>
          <w:p>
            <w:pPr>
              <w:spacing w:after="0" w:before="0" w:line="320"/>
            </w:pPr>
            <w:r>
              <w:rPr>
                <w:rFonts w:ascii="Microsoft YaHei UI" w:cs="Microsoft YaHei UI" w:eastAsia="Microsoft YaHei UI" w:hAnsi="Microsoft YaHei UI"/>
                <w:color w:val="5F706E"/>
                <w:sz w:val="20"/>
                <w:szCs w:val="20"/>
              </w:rPr>
              <w:t xml:space="preserve">研究主题：退行性颈椎后凸和狭窄患者后路手术后后凸进展的危险因素。。摘要要点：目的：探讨退变性颈椎后凸狭窄患者行后路减压术后颈椎后凸进展的术前及术中因素。方法：这项回顾性研究回顾了诊断为多节段颈椎管狭窄和退变性颈椎后凸并接受后路手术的患者。使用改良的日本骨科协会 (mJOA) 评分、颈部疼痛视觉模拟量表 (VAS)、颈部残疾指数 (NDI) 和简表 36 (SF36) 健康调查来评估临床结果。术前和随访时使用颈椎站立 X 射线测量放射学参数，包括 C2-C7 前凸、颈椎运动范围（屈曲和伸展）、T1 斜率和 T1S-CL。根据术后脊柱后凸是否进展，将患者分为两组。结果：共有 102 名患者（平均年龄 56.8 岁；75 名男性，27 名女性）符合纳入标准。42 名患者（41.2%）术后颈椎后凸进展，而 60 名患者（58.8%）保持颈椎排列。</w:t>
            </w:r>
          </w:p>
          <w:p>
            <w:pPr>
              <w:spacing w:after="0" w:before="80"/>
            </w:pPr>
            <w:hyperlink w:history="1" r:id="rIdp2tfsqvnrz0o8gsv7pr5y">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2026-08-24</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周非非｜北京大学第三医院</w:t>
            </w:r>
          </w:p>
          <w:p>
            <w:pPr>
              <w:spacing w:after="70" w:before="0" w:line="340"/>
            </w:pPr>
            <w:r>
              <w:rPr>
                <w:rFonts w:ascii="Microsoft YaHei UI" w:cs="Microsoft YaHei UI" w:eastAsia="Microsoft YaHei UI" w:hAnsi="Microsoft YaHei UI"/>
                <w:b/>
                <w:bCs/>
                <w:color w:val="152625"/>
                <w:sz w:val="22"/>
                <w:szCs w:val="22"/>
              </w:rPr>
              <w:t xml:space="preserve">单节段 Bryan 和 ProDisc-C 颈椎间盘置换术的长期比较：至少 10 年的临床和放射学结果随访。</w:t>
            </w:r>
          </w:p>
          <w:p>
            <w:pPr>
              <w:spacing w:after="0" w:before="0" w:line="320"/>
            </w:pPr>
            <w:r>
              <w:rPr>
                <w:rFonts w:ascii="Microsoft YaHei UI" w:cs="Microsoft YaHei UI" w:eastAsia="Microsoft YaHei UI" w:hAnsi="Microsoft YaHei UI"/>
                <w:color w:val="5F706E"/>
                <w:sz w:val="20"/>
                <w:szCs w:val="20"/>
              </w:rPr>
              <w:t xml:space="preserve">研究主题：单节段 Bryan 和 ProDisc-C 颈椎间盘置换术的长期比较：至少 10 年的临床和放射学结果随访。。摘要要点：研究设计回顾性队列研究。目的比较单节段颈椎间盘置换术 (CDA) 后 Bryan 和 ProDisc-C 颈椎间盘假体之间的长期临床和影像学结果，特别关注矢状对齐、运动行为、异位骨化 (HO) 和放射学邻近节段退变。方法这项回顾性单中心队列研究包括使用 Bryan 或 ProDisc-C 假体进行单节段 CDA 的患者2004 年至 2014 年间，拥有完整的至少 10 年临床和放射学随访数据。使用颈部残疾指数（NDI）、颈部和手臂疼痛视觉模拟量表以及改良的日本骨科协会（mJOA）评分来评估临床结果。</w:t>
            </w:r>
          </w:p>
          <w:p>
            <w:pPr>
              <w:spacing w:after="0" w:before="80"/>
            </w:pPr>
            <w:hyperlink w:history="1" r:id="rIdbomsawxyknbtkut484hyo">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2026-08-06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李危石｜北京大学第三医院</w:t>
            </w:r>
          </w:p>
          <w:p>
            <w:pPr>
              <w:spacing w:after="70" w:before="0" w:line="340"/>
            </w:pPr>
            <w:r>
              <w:rPr>
                <w:rFonts w:ascii="Microsoft YaHei UI" w:cs="Microsoft YaHei UI" w:eastAsia="Microsoft YaHei UI" w:hAnsi="Microsoft YaHei UI"/>
                <w:b/>
                <w:bCs/>
                <w:color w:val="152625"/>
                <w:sz w:val="22"/>
                <w:szCs w:val="22"/>
              </w:rPr>
              <w:t xml:space="preserve">患者报告的腰椎手术生活质量 (LSQoL) 的开发和初步验证：混合方法研究。</w:t>
            </w:r>
          </w:p>
          <w:p>
            <w:pPr>
              <w:spacing w:after="0" w:before="0" w:line="320"/>
            </w:pPr>
            <w:r>
              <w:rPr>
                <w:rFonts w:ascii="Microsoft YaHei UI" w:cs="Microsoft YaHei UI" w:eastAsia="Microsoft YaHei UI" w:hAnsi="Microsoft YaHei UI"/>
                <w:color w:val="5F706E"/>
                <w:sz w:val="20"/>
                <w:szCs w:val="20"/>
              </w:rPr>
              <w:t xml:space="preserve">研究主题：患者报告的腰椎手术生活质量 (LSQoL) 的开发和初步验证：混合方法研究。。摘要要点：研究设计：混合方法研究。目的：开发腰椎手术生活质量 (LSQoL) 并对其进行初步验证，这是一种针对腰椎退行性疾病患者的多维患者报告结果测量方法。背景数据摘要：患者报告的结果测量（PROM）广泛用于评估腰椎退行性疾病的结果，但通常组合应用，每种仪器仅捕获患者状态的特定方面。因此，Oswestry 残疾指数 (ODI) 等传统指标的改善并不总是与患者感知的康复或满意度相对应，这凸显了对更好地反映患者体验的多维工具的需求。方法：LSQoL 采用多阶段混合方法开发，包括文献综述、患者访谈、德尔菲法专家共识以及层次分析法 (AHP) 加权。该仪器在 1,996 名腰椎退行性疾病患者中得到验证。</w:t>
            </w:r>
          </w:p>
          <w:p>
            <w:pPr>
              <w:spacing w:after="0" w:before="80"/>
            </w:pPr>
            <w:hyperlink w:history="1" r:id="rIds_htd-x5o4lnnqy7-h0ek">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对乙酰氨基酚 / acetaminophen / C8H9NO2（11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双氯芬酸钠 / diclofenac sodium / C14H10Cl2NNaO2（6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苏泽曲吉 / suzetrigine / C21H20F5N3O4（5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萘普生钠 / naproxen sodium / C14H13NaO3（3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依托考昔 / etoricoxib / C18H15ClN2O2S（2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布洛芬 / ibuprofen / C13H18O2（2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帕瑞昔布钠 / parecoxib sodium / C19H17N2NaO4S（2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塞来昔布 / celecoxib / C17H14F3N3O2S（2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洛索洛芬钠 / loxoprofen sodium / C15H17NaO3（1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优先核对关节炎和围术期研究的疗效终点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持续监测 GI、CV 和肾脏安全性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对比 Journavx 等非阿片新机制的适应症和证据成熟度</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西乐葆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qzr_hrqb4yyu5ccucgrv" Type="http://schemas.openxmlformats.org/officeDocument/2006/relationships/hyperlink" Target="https://pubmed.ncbi.nlm.nih.gov/42666573/" TargetMode="External"/><Relationship Id="rIdpjrchofhwvfzxa-xwrs3f" Type="http://schemas.openxmlformats.org/officeDocument/2006/relationships/hyperlink" Target="https://pubmed.ncbi.nlm.nih.gov/42631828/" TargetMode="External"/><Relationship Id="rIdwrxcsskyuvvp6lrwh4kwk" Type="http://schemas.openxmlformats.org/officeDocument/2006/relationships/hyperlink" Target="https://pubmed.ncbi.nlm.nih.gov/42606636/" TargetMode="External"/><Relationship Id="rIdfi-b4yelqvgfba1wp9taa" Type="http://schemas.openxmlformats.org/officeDocument/2006/relationships/hyperlink" Target="https://pubmed.ncbi.nlm.nih.gov/42563331/" TargetMode="External"/><Relationship Id="rIdfwlkyw8m0afxlznrhgofd" Type="http://schemas.openxmlformats.org/officeDocument/2006/relationships/hyperlink" Target="https://pubmed.ncbi.nlm.nih.gov/42653732/" TargetMode="External"/><Relationship Id="rId8u0f7ozt2npwjezyqslls" Type="http://schemas.openxmlformats.org/officeDocument/2006/relationships/hyperlink" Target="https://pubmed.ncbi.nlm.nih.gov/42666456/" TargetMode="External"/><Relationship Id="rIdofuzw2orqusgao7ivtzqs" Type="http://schemas.openxmlformats.org/officeDocument/2006/relationships/hyperlink" Target="https://pubmed.ncbi.nlm.nih.gov/42664442/" TargetMode="External"/><Relationship Id="rIdctmjelsdykpl0dq7avbvt" Type="http://schemas.openxmlformats.org/officeDocument/2006/relationships/hyperlink" Target="https://pubmed.ncbi.nlm.nih.gov/42641947/" TargetMode="External"/><Relationship Id="rId3t8bvacgipxqeisgeolpl" Type="http://schemas.openxmlformats.org/officeDocument/2006/relationships/hyperlink" Target="https://pubmed.ncbi.nlm.nih.gov/42665353/" TargetMode="External"/><Relationship Id="rIdp2tfsqvnrz0o8gsv7pr5y" Type="http://schemas.openxmlformats.org/officeDocument/2006/relationships/hyperlink" Target="https://pubmed.ncbi.nlm.nih.gov/42658305/" TargetMode="External"/><Relationship Id="rIdbomsawxyknbtkut484hyo" Type="http://schemas.openxmlformats.org/officeDocument/2006/relationships/hyperlink" Target="https://pubmed.ncbi.nlm.nih.gov/42635092/" TargetMode="External"/><Relationship Id="rIds_htd-x5o4lnnqy7-h0ek" Type="http://schemas.openxmlformats.org/officeDocument/2006/relationships/hyperlink" Target="https://pubmed.ncbi.nlm.nih.gov/42574363/"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2026年8月西乐葆关注报告</dc:title>
  <dc:creator>Codex</dc:creator>
  <cp:lastModifiedBy>Un-named</cp:lastModifiedBy>
  <cp:revision>1</cp:revision>
  <dcterms:created xsi:type="dcterms:W3CDTF">2026-09-28T09:09:20.539Z</dcterms:created>
  <dcterms:modified xsi:type="dcterms:W3CDTF">2026-09-28T09:09:20.539Z</dcterms:modified>
</cp:coreProperties>
</file>

<file path=docProps/custom.xml><?xml version="1.0" encoding="utf-8"?>
<Properties xmlns="http://schemas.openxmlformats.org/officeDocument/2006/custom-properties" xmlns:vt="http://schemas.openxmlformats.org/officeDocument/2006/docPropsVTypes"/>
</file>