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0" w:line="340"/>
      </w:pPr>
      <w:r>
        <w:rPr>
          <w:rFonts w:ascii="Microsoft YaHei UI" w:cs="Microsoft YaHei UI" w:eastAsia="Microsoft YaHei UI" w:hAnsi="Microsoft YaHei UI"/>
          <w:b/>
          <w:bCs/>
          <w:color w:val="147D73"/>
          <w:sz w:val="20"/>
          <w:szCs w:val="20"/>
        </w:rPr>
        <w:t xml:space="preserve">MONTHLY PRODUCT INTELLIGENCE</w:t>
      </w:r>
    </w:p>
    <w:p>
      <w:pPr>
        <w:spacing w:after="120" w:before="0" w:line="340"/>
      </w:pPr>
      <w:r>
        <w:rPr>
          <w:rFonts w:ascii="Microsoft YaHei UI" w:cs="Microsoft YaHei UI" w:eastAsia="Microsoft YaHei UI" w:hAnsi="Microsoft YaHei UI"/>
          <w:b/>
          <w:bCs/>
          <w:color w:val="0B5C55"/>
          <w:sz w:val="40"/>
          <w:szCs w:val="40"/>
        </w:rPr>
        <w:t xml:space="preserve">迪敏思｜2026年8月关注报告</w:t>
      </w:r>
    </w:p>
    <w:p>
      <w:pPr>
        <w:spacing w:after="360" w:before="0" w:line="340"/>
      </w:pPr>
      <w:r>
        <w:rPr>
          <w:rFonts w:ascii="Microsoft YaHei UI" w:cs="Microsoft YaHei UI" w:eastAsia="Microsoft YaHei UI" w:hAnsi="Microsoft YaHei UI"/>
          <w:color w:val="5F706E"/>
          <w:sz w:val="22"/>
          <w:szCs w:val="22"/>
        </w:rPr>
        <w:t xml:space="preserve">2026-08-01 至 2026-08-31</w:t>
      </w:r>
    </w:p>
    <w:tbl>
      <w:tblPr>
        <w:tblW w:type="dxa" w:w="10000"/>
        <w:tblBorders>
          <w:top w:val="none"/>
          <w:left w:val="none"/>
          <w:bottom w:val="none"/>
          <w:right w:val="none"/>
          <w:insideH w:val="none"/>
          <w:insideV w:val="single" w:color="FFFFFF" w:sz="8"/>
        </w:tblBorders>
      </w:tblPr>
      <w:tblGrid>
        <w:gridCol w:w="2000"/>
        <w:gridCol w:w="2000"/>
        <w:gridCol w:w="2000"/>
        <w:gridCol w:w="2000"/>
        <w:gridCol w:w="2000"/>
      </w:tblGrid>
      <w:tr>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15</w:t>
            </w:r>
          </w:p>
          <w:p>
            <w:pPr>
              <w:spacing w:after="0" w:before="0" w:line="340"/>
              <w:jc w:val="center"/>
            </w:pPr>
            <w:r>
              <w:rPr>
                <w:rFonts w:ascii="Microsoft YaHei UI" w:cs="Microsoft YaHei UI" w:eastAsia="Microsoft YaHei UI" w:hAnsi="Microsoft YaHei UI"/>
                <w:color w:val="5F706E"/>
                <w:sz w:val="19"/>
                <w:szCs w:val="19"/>
              </w:rPr>
              <w:t xml:space="preserve">有效进展</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1</w:t>
            </w:r>
          </w:p>
          <w:p>
            <w:pPr>
              <w:spacing w:after="0" w:before="0" w:line="340"/>
              <w:jc w:val="center"/>
            </w:pPr>
            <w:r>
              <w:rPr>
                <w:rFonts w:ascii="Microsoft YaHei UI" w:cs="Microsoft YaHei UI" w:eastAsia="Microsoft YaHei UI" w:hAnsi="Microsoft YaHei UI"/>
                <w:color w:val="5F706E"/>
                <w:sz w:val="19"/>
                <w:szCs w:val="19"/>
              </w:rPr>
              <w:t xml:space="preserve">建议跟进</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0</w:t>
            </w:r>
          </w:p>
          <w:p>
            <w:pPr>
              <w:spacing w:after="0" w:before="0" w:line="340"/>
              <w:jc w:val="center"/>
            </w:pPr>
            <w:r>
              <w:rPr>
                <w:rFonts w:ascii="Microsoft YaHei UI" w:cs="Microsoft YaHei UI" w:eastAsia="Microsoft YaHei UI" w:hAnsi="Microsoft YaHei UI"/>
                <w:color w:val="5F706E"/>
                <w:sz w:val="19"/>
                <w:szCs w:val="19"/>
              </w:rPr>
              <w:t xml:space="preserve">高证据</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5</w:t>
            </w:r>
          </w:p>
          <w:p>
            <w:pPr>
              <w:spacing w:after="0" w:before="0" w:line="340"/>
              <w:jc w:val="center"/>
            </w:pPr>
            <w:r>
              <w:rPr>
                <w:rFonts w:ascii="Microsoft YaHei UI" w:cs="Microsoft YaHei UI" w:eastAsia="Microsoft YaHei UI" w:hAnsi="Microsoft YaHei UI"/>
                <w:color w:val="5F706E"/>
                <w:sz w:val="19"/>
                <w:szCs w:val="19"/>
              </w:rPr>
              <w:t xml:space="preserve">KOL记录</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3</w:t>
            </w:r>
          </w:p>
          <w:p>
            <w:pPr>
              <w:spacing w:after="0" w:before="0" w:line="340"/>
              <w:jc w:val="center"/>
            </w:pPr>
            <w:r>
              <w:rPr>
                <w:rFonts w:ascii="Microsoft YaHei UI" w:cs="Microsoft YaHei UI" w:eastAsia="Microsoft YaHei UI" w:hAnsi="Microsoft YaHei UI"/>
                <w:color w:val="5F706E"/>
                <w:sz w:val="19"/>
                <w:szCs w:val="19"/>
              </w:rPr>
              <w:t xml:space="preserve">涉及专家</w:t>
            </w:r>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管理层摘要</w:t>
      </w:r>
    </w:p>
    <w:tbl>
      <w:tblPr>
        <w:tblW w:type="dxa" w:w="10000"/>
        <w:tblBorders>
          <w:top w:val="single" w:color="D6E2DF" w:sz="1"/>
          <w:left w:val="single" w:color="D6E2DF" w:sz="1"/>
          <w:bottom w:val="single" w:color="D6E2DF" w:sz="1"/>
          <w:right w:val="single" w:color="D6E2DF" w:sz="1"/>
          <w:insideH w:val="single" w:color="D6E2DF" w:sz="1"/>
          <w:insideV w:val="single" w:color="D6E2DF" w:sz="1"/>
        </w:tblBorders>
      </w:tblPr>
      <w:tblGrid>
        <w:gridCol w:w="1750"/>
        <w:gridCol w:w="8250"/>
      </w:tblGrid>
      <w:tr>
        <w:tc>
          <w:tcPr>
            <w:tcW w:type="dxa" w:w="1750"/>
            <w:shd w:fill="DDF1EC"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一句话结论</w:t>
            </w:r>
          </w:p>
        </w:tc>
        <w:tc>
          <w:tcPr>
            <w:tcW w:type="dxa" w:w="8250"/>
            <w:shd w:fill="F2FAF8"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8月迪敏思中国青少年研究登记值得关注；鼻息肉生物制剂与常规过敏性鼻炎须区分适应症。</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发生了什么</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本月纳入 15 条有效产品/竞品进展，其中 1 条建议跟进、0 条为高证据。优先记录包括《鼻用氮卓斯汀预防复发性急性鼻-鼻窦炎：一项多中心回顾性研究。》、《度普利尤单抗改善嗅觉的机制》。</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关注什么</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优先查看重症/潜在竞品；Dupixent、本品/同成分；迪敏思/Dymista、同类竞品；Nasonex、同类竞品；Rhinocort，并把同一研究在不同检索路径下的重复命中合并判断。</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为什么关注</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鼻喷方案决定常规中重度患者的起始控制，而生物制剂会重塑伴哮喘、鼻息肉或难治患者的升级路径。</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建议动作</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区分 AR、CRSwNP 和哮喘人群，不混用适应症；跟踪鼻喷复方的起效、症状控制和依从性；建立重症患者向生物制剂升级的证据地图。</w:t>
            </w:r>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本月重点更新</w:t>
      </w:r>
    </w:p>
    <w:tbl>
      <w:tblPr>
        <w:tblW w:type="dxa" w:w="10000"/>
        <w:tblBorders>
          <w:top w:val="single" w:color="D6E2DF" w:sz="1"/>
          <w:left w:val="single" w:color="D6E2DF" w:sz="1"/>
          <w:bottom w:val="single" w:color="D6E2DF" w:sz="1"/>
          <w:right w:val="single" w:color="D6E2DF" w:sz="1"/>
          <w:insideH w:val="single" w:color="D6E2DF" w:sz="1"/>
          <w:insideV w:val="single" w:color="D6E2DF" w:sz="1"/>
        </w:tblBorders>
      </w:tblPr>
      <w:tblGrid>
        <w:gridCol w:w="1450"/>
        <w:gridCol w:w="5400"/>
        <w:gridCol w:w="3150"/>
      </w:tblGrid>
      <w:tr>
        <w:trPr>
          <w:tblHeader/>
        </w:trPr>
        <w:tc>
          <w:tcPr>
            <w:tcW w:type="dxa" w:w="1450"/>
            <w:shd w:fill="0B5C55"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FFFFFF"/>
                <w:sz w:val="22"/>
                <w:szCs w:val="22"/>
              </w:rPr>
              <w:t xml:space="preserve">日期 / 来源</w:t>
            </w:r>
          </w:p>
        </w:tc>
        <w:tc>
          <w:tcPr>
            <w:tcW w:type="dxa" w:w="5400"/>
            <w:shd w:fill="0B5C55"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FFFFFF"/>
                <w:sz w:val="22"/>
                <w:szCs w:val="22"/>
              </w:rPr>
              <w:t xml:space="preserve">研究或事件</w:t>
            </w:r>
          </w:p>
        </w:tc>
        <w:tc>
          <w:tcPr>
            <w:tcW w:type="dxa" w:w="3150"/>
            <w:shd w:fill="0B5C55"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FFFFFF"/>
                <w:sz w:val="22"/>
                <w:szCs w:val="22"/>
              </w:rPr>
              <w:t xml:space="preserve">判断与动作</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2026-08-14</w:t>
            </w:r>
          </w:p>
          <w:p>
            <w:pPr>
              <w:spacing w:after="60" w:before="0" w:line="340"/>
            </w:pPr>
            <w:r>
              <w:rPr>
                <w:rFonts w:ascii="Microsoft YaHei UI" w:cs="Microsoft YaHei UI" w:eastAsia="Microsoft YaHei UI" w:hAnsi="Microsoft YaHei UI"/>
                <w:color w:val="5F706E"/>
                <w:sz w:val="22"/>
                <w:szCs w:val="22"/>
              </w:rPr>
              <w:t xml:space="preserve">PubMed</w:t>
            </w:r>
          </w:p>
          <w:p>
            <w:pPr>
              <w:spacing w:after="0" w:before="0" w:line="340"/>
            </w:pPr>
            <w:r>
              <w:rPr>
                <w:rFonts w:ascii="Microsoft YaHei UI" w:cs="Microsoft YaHei UI" w:eastAsia="Microsoft YaHei UI" w:hAnsi="Microsoft YaHei UI"/>
                <w:color w:val="9A5D15"/>
                <w:sz w:val="18"/>
                <w:szCs w:val="18"/>
              </w:rPr>
              <w:t xml:space="preserve">中证据 / 视情况</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鼻用氮卓斯汀预防复发性急性鼻-鼻窦炎：一项多中心回顾性研究。</w:t>
            </w:r>
          </w:p>
          <w:p>
            <w:pPr>
              <w:spacing w:after="0" w:before="0" w:line="320"/>
            </w:pPr>
            <w:r>
              <w:rPr>
                <w:rFonts w:ascii="Microsoft YaHei UI" w:cs="Microsoft YaHei UI" w:eastAsia="Microsoft YaHei UI" w:hAnsi="Microsoft YaHei UI"/>
                <w:color w:val="5F706E"/>
                <w:sz w:val="20"/>
                <w:szCs w:val="20"/>
              </w:rPr>
              <w:t xml:space="preserve">论文内容：自身对照分析显示：年平均发作次数从2.72次降至1.18次，降幅达56.6%。从使用鼻用糖皮质激素（ICS）的患者到合并慢性鼻-鼻窦炎（CRS）的患者，各亚组的治疗效果均一致。研究结果支持开展前瞻性随机对照试验，评估氮卓斯汀用于复发性急性鼻-鼻窦炎（RARS）的价值。 原始期刊：International forum of allergy &amp; rhinology；PMID：42599698。</w:t>
            </w:r>
          </w:p>
          <w:p>
            <w:pPr>
              <w:spacing w:after="0" w:before="80"/>
            </w:pPr>
            <w:hyperlink w:history="1" r:id="rIdiq6gbncma0z55bj4y3jta">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本品/同成分；迪敏思/Dymista</w:t>
            </w:r>
          </w:p>
          <w:p>
            <w:pPr>
              <w:spacing w:after="0" w:before="0" w:line="320"/>
            </w:pPr>
            <w:r>
              <w:rPr>
                <w:rFonts w:ascii="Microsoft YaHei UI" w:cs="Microsoft YaHei UI" w:eastAsia="Microsoft YaHei UI" w:hAnsi="Microsoft YaHei UI"/>
                <w:color w:val="152625"/>
                <w:sz w:val="20"/>
                <w:szCs w:val="20"/>
              </w:rPr>
              <w:t xml:space="preserve">该文涉及盐酸氮卓斯汀+丙酸氟替卡松及迪敏思的本品/同成分追踪路径；应依据原文研究人群、终点与研究设计判断临床适用性，不把题名当作疗效结论。</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2026-08-05</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9A5D15"/>
                <w:sz w:val="18"/>
                <w:szCs w:val="18"/>
              </w:rPr>
              <w:t xml:space="preserve">中证据 / 建议跟进</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度普利尤单抗改善嗅觉的机制</w:t>
            </w:r>
          </w:p>
          <w:p>
            <w:pPr>
              <w:spacing w:after="0" w:before="0" w:line="320"/>
            </w:pPr>
            <w:r>
              <w:rPr>
                <w:rFonts w:ascii="Microsoft YaHei UI" w:cs="Microsoft YaHei UI" w:eastAsia="Microsoft YaHei UI" w:hAnsi="Microsoft YaHei UI"/>
                <w:color w:val="5F706E"/>
                <w:sz w:val="20"/>
                <w:szCs w:val="20"/>
              </w:rPr>
              <w:t xml:space="preserve">8月事件：首次公布结果（2026-08-05）；登记号：NCT05964465；登记状态：已完成；阶段：4期；疾病：慢性鼻窦炎伴鼻息肉；干预：度普利尤单抗。 研究说明：本研究旨在探讨度普利尤单抗改善慢性鼻窦炎伴鼻息肉（CRSwNP）患者嗅裂炎症的作用机制。研究者期望本研究能提供有力证据，证实度普利尤单抗可通过直接减轻嗅裂炎症改善临床嗅觉功能。 结果数据已在原始登记页公开；本摘要未独立评估效应量。</w:t>
            </w:r>
          </w:p>
          <w:p>
            <w:pPr>
              <w:spacing w:after="0" w:before="80"/>
            </w:pPr>
            <w:hyperlink w:history="1" r:id="rIdulue-i6mjd4vhbkezrkbt">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重症/潜在竞品；Dupixent</w:t>
            </w:r>
          </w:p>
          <w:p>
            <w:pPr>
              <w:spacing w:after="0" w:before="0" w:line="320"/>
            </w:pPr>
            <w:r>
              <w:rPr>
                <w:rFonts w:ascii="Microsoft YaHei UI" w:cs="Microsoft YaHei UI" w:eastAsia="Microsoft YaHei UI" w:hAnsi="Microsoft YaHei UI"/>
                <w:color w:val="152625"/>
                <w:sz w:val="20"/>
                <w:szCs w:val="20"/>
              </w:rPr>
              <w:t xml:space="preserve">这是重症/潜在竞品路径的临床登记首次公布结果，并非已经证实疗效；需核对其适应症、入排标准及终点是否与迪敏思人群可比。</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2026-08-26</w:t>
            </w:r>
          </w:p>
          <w:p>
            <w:pPr>
              <w:spacing w:after="60" w:before="0" w:line="340"/>
            </w:pPr>
            <w:r>
              <w:rPr>
                <w:rFonts w:ascii="Microsoft YaHei UI" w:cs="Microsoft YaHei UI" w:eastAsia="Microsoft YaHei UI" w:hAnsi="Microsoft YaHei UI"/>
                <w:color w:val="5F706E"/>
                <w:sz w:val="22"/>
                <w:szCs w:val="22"/>
              </w:rPr>
              <w:t xml:space="preserve">PubMed</w:t>
            </w:r>
          </w:p>
          <w:p>
            <w:pPr>
              <w:spacing w:after="0" w:before="0" w:line="340"/>
            </w:pPr>
            <w:r>
              <w:rPr>
                <w:rFonts w:ascii="Microsoft YaHei UI" w:cs="Microsoft YaHei UI" w:eastAsia="Microsoft YaHei UI" w:hAnsi="Microsoft YaHei UI"/>
                <w:color w:val="9A5D15"/>
                <w:sz w:val="18"/>
                <w:szCs w:val="18"/>
              </w:rPr>
              <w:t xml:space="preserve">中证据 / 视情况</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含氟替卡松的呼气递送系统在伴或不伴鼻息肉的慢性鼻-鼻窦炎中的疗效</w:t>
            </w:r>
          </w:p>
          <w:p>
            <w:pPr>
              <w:spacing w:after="0" w:before="0" w:line="320"/>
            </w:pPr>
            <w:r>
              <w:rPr>
                <w:rFonts w:ascii="Microsoft YaHei UI" w:cs="Microsoft YaHei UI" w:eastAsia="Microsoft YaHei UI" w:hAnsi="Microsoft YaHei UI"/>
                <w:color w:val="5F706E"/>
                <w:sz w:val="20"/>
                <w:szCs w:val="20"/>
              </w:rPr>
              <w:t xml:space="preserve">论文内容：目的：评估伴鼻息肉的CRS（CRSwNP）患者与不伴鼻息肉的CRS（CRSsNP）患者对含氟替卡松的呼气递送系统（EDS-FLU；XHANCE®）的治疗应答是否存在差异。研究设计：对2018年11月至2021年11月开展的为期24周的ReOpen临床试验进行事后分析。研究场景：多国、多中心、随机、EDS安慰剂对照研究。方法：汇总来自多项随机试验的数据，其中CRSwNP患者（n = 206）或CRSsNP患者（n = 341）按1:1:1的比例随机分配至EDS-FLU 186 μg组、372 μg组或EDS安慰剂组，每侧鼻孔每日2次，每次1或2喷，持续给药24周。</w:t>
            </w:r>
          </w:p>
          <w:p>
            <w:pPr>
              <w:spacing w:after="0" w:before="80"/>
            </w:pPr>
            <w:hyperlink w:history="1" r:id="rIddv6sn3nwfqjuumzqw5fum">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本品/同成分；迪敏思/Dymista</w:t>
            </w:r>
          </w:p>
          <w:p>
            <w:pPr>
              <w:spacing w:after="0" w:before="0" w:line="320"/>
            </w:pPr>
            <w:r>
              <w:rPr>
                <w:rFonts w:ascii="Microsoft YaHei UI" w:cs="Microsoft YaHei UI" w:eastAsia="Microsoft YaHei UI" w:hAnsi="Microsoft YaHei UI"/>
                <w:color w:val="152625"/>
                <w:sz w:val="20"/>
                <w:szCs w:val="20"/>
              </w:rPr>
              <w:t xml:space="preserve">该文涉及盐酸氮卓斯汀+丙酸氟替卡松及迪敏思的本品/同成分追踪路径；应依据原文研究人群、终点与研究设计判断临床适用性，不把题名当作疗效结论。</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2026-08-27</w:t>
            </w:r>
          </w:p>
          <w:p>
            <w:pPr>
              <w:spacing w:after="60" w:before="0" w:line="340"/>
            </w:pPr>
            <w:r>
              <w:rPr>
                <w:rFonts w:ascii="Microsoft YaHei UI" w:cs="Microsoft YaHei UI" w:eastAsia="Microsoft YaHei UI" w:hAnsi="Microsoft YaHei UI"/>
                <w:color w:val="5F706E"/>
                <w:sz w:val="22"/>
                <w:szCs w:val="22"/>
              </w:rPr>
              <w:t xml:space="preserve">PubMed</w:t>
            </w:r>
          </w:p>
          <w:p>
            <w:pPr>
              <w:spacing w:after="0" w:before="0" w:line="340"/>
            </w:pPr>
            <w:r>
              <w:rPr>
                <w:rFonts w:ascii="Microsoft YaHei UI" w:cs="Microsoft YaHei UI" w:eastAsia="Microsoft YaHei UI" w:hAnsi="Microsoft YaHei UI"/>
                <w:color w:val="9A5D15"/>
                <w:sz w:val="18"/>
                <w:szCs w:val="18"/>
              </w:rPr>
              <w:t xml:space="preserve">中证据 / 视情况</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布地奈德在鼻炎和鼻-鼻窦炎中的安全性、疗效及作用机制：一项系统评价。</w:t>
            </w:r>
          </w:p>
          <w:p>
            <w:pPr>
              <w:spacing w:after="0" w:before="0" w:line="320"/>
            </w:pPr>
            <w:r>
              <w:rPr>
                <w:rFonts w:ascii="Microsoft YaHei UI" w:cs="Microsoft YaHei UI" w:eastAsia="Microsoft YaHei UI" w:hAnsi="Microsoft YaHei UI"/>
                <w:color w:val="5F706E"/>
                <w:sz w:val="20"/>
                <w:szCs w:val="20"/>
              </w:rPr>
              <w:t xml:space="preserve">论文内容：目的：布地奈德是一种具有独特药代动力学和药效学特性的糖皮质激素，自20世纪90年代以来一直是过敏性鼻炎（AR）和慢性鼻-鼻窦炎（CRS）患者的一线治疗药物。随着布地奈德相关研究不断产生新的见解，本研究旨在整合近期的调查结果，提供关于安全性、临床疗效及作用机制（MOA）结局的最新信息。数据来源：检索范围限定为2014年1月1日至2025年2月26日的PubMed数据库。纳入主要治疗领域为鼻炎、鼻窦炎或鼻-鼻窦炎、且接受布地奈德治疗的成人患者的临床研究。综述方法：对检索结果进行筛选，并评估符合条件的文章中关于安全性、疗效和/或MOA结局的研究结果。结果：共纳入31篇文章。</w:t>
            </w:r>
          </w:p>
          <w:p>
            <w:pPr>
              <w:spacing w:after="0" w:before="80"/>
            </w:pPr>
            <w:hyperlink w:history="1" r:id="rIdw20umoibcffjauktbs9bb">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同类竞品；Rhinocort</w:t>
            </w:r>
          </w:p>
          <w:p>
            <w:pPr>
              <w:spacing w:after="0" w:before="0" w:line="320"/>
            </w:pPr>
            <w:r>
              <w:rPr>
                <w:rFonts w:ascii="Microsoft YaHei UI" w:cs="Microsoft YaHei UI" w:eastAsia="Microsoft YaHei UI" w:hAnsi="Microsoft YaHei UI"/>
                <w:color w:val="152625"/>
                <w:sz w:val="20"/>
                <w:szCs w:val="20"/>
              </w:rPr>
              <w:t xml:space="preserve">该文涉及布地奈德及迪敏思的同类竞品追踪路径；应依据原文研究人群、终点与研究设计判断临床适用性，不把题名当作疗效结论。</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2026-08-25</w:t>
            </w:r>
          </w:p>
          <w:p>
            <w:pPr>
              <w:spacing w:after="60" w:before="0" w:line="340"/>
            </w:pPr>
            <w:r>
              <w:rPr>
                <w:rFonts w:ascii="Microsoft YaHei UI" w:cs="Microsoft YaHei UI" w:eastAsia="Microsoft YaHei UI" w:hAnsi="Microsoft YaHei UI"/>
                <w:color w:val="5F706E"/>
                <w:sz w:val="22"/>
                <w:szCs w:val="22"/>
              </w:rPr>
              <w:t xml:space="preserve">PubMed</w:t>
            </w:r>
          </w:p>
          <w:p>
            <w:pPr>
              <w:spacing w:after="0" w:before="0" w:line="340"/>
            </w:pPr>
            <w:r>
              <w:rPr>
                <w:rFonts w:ascii="Microsoft YaHei UI" w:cs="Microsoft YaHei UI" w:eastAsia="Microsoft YaHei UI" w:hAnsi="Microsoft YaHei UI"/>
                <w:color w:val="9A5D15"/>
                <w:sz w:val="18"/>
                <w:szCs w:val="18"/>
              </w:rPr>
              <w:t xml:space="preserve">中证据 / 视情况</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联合诊室内镜下清创与仰卧头悬位布地奈德灌注治疗术后难治性慢性鼻窦炎伴鼻息肉：一项回顾性队列研究。</w:t>
            </w:r>
          </w:p>
          <w:p>
            <w:pPr>
              <w:spacing w:after="0" w:before="0" w:line="320"/>
            </w:pPr>
            <w:r>
              <w:rPr>
                <w:rFonts w:ascii="Microsoft YaHei UI" w:cs="Microsoft YaHei UI" w:eastAsia="Microsoft YaHei UI" w:hAnsi="Microsoft YaHei UI"/>
                <w:color w:val="5F706E"/>
                <w:sz w:val="20"/>
                <w:szCs w:val="20"/>
              </w:rPr>
              <w:t xml:space="preserve">论文内容：背景：难治性慢性鼻窦炎伴鼻息肉（CRSwNP）在接受充分的鼻窦内镜手术及遵循指南的术后治疗后仍可能未得到控制。术腔中阻塞性水肿或息肉样组织可能限制局部糖皮质激素的作用范围，延缓黏膜恢复。本研究评估一种强化门诊治疗策略——针对性诊室内镜下清创后行仰卧头悬位布地奈德灌注——是否与术后术腔更早的上皮化记录相关。方法：该单中心回顾性队列纳入2020年1月至2025年1月期间接受治疗的102例成人患者，并依据EPOS 2020难治性标准进行重新评估。其中52例患者接受该强化策略，50例患者接受常规布地奈德鼻喷雾剂；两组均接受相同的7天口服甲泼尼龙疗程。主要终点为术后12周记录的术腔上皮化情况。</w:t>
            </w:r>
          </w:p>
          <w:p>
            <w:pPr>
              <w:spacing w:after="0" w:before="80"/>
            </w:pPr>
            <w:hyperlink w:history="1" r:id="rIdwmicg_psh1h_qyai4v5me">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同类竞品；Rhinocort</w:t>
            </w:r>
          </w:p>
          <w:p>
            <w:pPr>
              <w:spacing w:after="0" w:before="0" w:line="320"/>
            </w:pPr>
            <w:r>
              <w:rPr>
                <w:rFonts w:ascii="Microsoft YaHei UI" w:cs="Microsoft YaHei UI" w:eastAsia="Microsoft YaHei UI" w:hAnsi="Microsoft YaHei UI"/>
                <w:color w:val="152625"/>
                <w:sz w:val="20"/>
                <w:szCs w:val="20"/>
              </w:rPr>
              <w:t xml:space="preserve">该文涉及布地奈德及迪敏思的同类竞品追踪路径；应依据原文研究人群、终点与研究设计判断临床适用性，不把题名当作疗效结论。</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2026-08-24</w:t>
            </w:r>
          </w:p>
          <w:p>
            <w:pPr>
              <w:spacing w:after="60" w:before="0" w:line="340"/>
            </w:pPr>
            <w:r>
              <w:rPr>
                <w:rFonts w:ascii="Microsoft YaHei UI" w:cs="Microsoft YaHei UI" w:eastAsia="Microsoft YaHei UI" w:hAnsi="Microsoft YaHei UI"/>
                <w:color w:val="5F706E"/>
                <w:sz w:val="22"/>
                <w:szCs w:val="22"/>
              </w:rPr>
              <w:t xml:space="preserve">PubMed</w:t>
            </w:r>
          </w:p>
          <w:p>
            <w:pPr>
              <w:spacing w:after="0" w:before="0" w:line="340"/>
            </w:pPr>
            <w:r>
              <w:rPr>
                <w:rFonts w:ascii="Microsoft YaHei UI" w:cs="Microsoft YaHei UI" w:eastAsia="Microsoft YaHei UI" w:hAnsi="Microsoft YaHei UI"/>
                <w:color w:val="9A5D15"/>
                <w:sz w:val="18"/>
                <w:szCs w:val="18"/>
              </w:rPr>
              <w:t xml:space="preserve">中证据 / 视情况</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在接受Dupilumab治疗的CRSwNP患者中，患者报告的嗅觉改善是否与生活质量及息肉体积缩小存在相关性？</w:t>
            </w:r>
          </w:p>
          <w:p>
            <w:pPr>
              <w:spacing w:after="0" w:before="0" w:line="320"/>
            </w:pPr>
            <w:r>
              <w:rPr>
                <w:rFonts w:ascii="Microsoft YaHei UI" w:cs="Microsoft YaHei UI" w:eastAsia="Microsoft YaHei UI" w:hAnsi="Microsoft YaHei UI"/>
                <w:color w:val="5F706E"/>
                <w:sz w:val="20"/>
                <w:szCs w:val="20"/>
              </w:rPr>
              <w:t xml:space="preserve">论文内容：背景：嗅觉功能障碍（OD）是慢性鼻-鼻窦炎伴鼻息肉（CRSwNP）的核心症状。Dupilumab可改善包括患者报告嗅觉功能在内的多项临床结局。本研究旨在分析接受dupilumab治疗的患者中，患者报告的嗅觉改善、生活质量与内镜结局之间的相关性。方法：一项单中心真实世界回顾性研究纳入35例接受dupilumab治疗的重度未控制CRSwNP患者。在基线、6个月和12个月时，采用视觉模拟量表（VAS-嗅觉）评估患者报告的嗅觉功能，采用鼻窦结局测试-22（SNOT-22）评估生活质量，采用鼻息肉评分（NPS）评估息肉大小。采用Wilcoxon符号秩检验分析较基线的变化，采用Spearman秩相关系数评估相关性。</w:t>
            </w:r>
          </w:p>
          <w:p>
            <w:pPr>
              <w:spacing w:after="0" w:before="80"/>
            </w:pPr>
            <w:hyperlink w:history="1" r:id="rIdf9xzcnoq8_0kojpc55wfb">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重症/潜在竞品；Dupixent</w:t>
            </w:r>
          </w:p>
          <w:p>
            <w:pPr>
              <w:spacing w:after="0" w:before="0" w:line="320"/>
            </w:pPr>
            <w:r>
              <w:rPr>
                <w:rFonts w:ascii="Microsoft YaHei UI" w:cs="Microsoft YaHei UI" w:eastAsia="Microsoft YaHei UI" w:hAnsi="Microsoft YaHei UI"/>
                <w:color w:val="152625"/>
                <w:sz w:val="20"/>
                <w:szCs w:val="20"/>
              </w:rPr>
              <w:t xml:space="preserve">该文涉及度普利尤单抗及迪敏思的重症/潜在竞品追踪路径；应依据原文研究人群、终点与研究设计判断临床适用性，不把题名当作疗效结论。</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2026-08-26</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9A5D15"/>
                <w:sz w:val="18"/>
                <w:szCs w:val="18"/>
              </w:rPr>
              <w:t xml:space="preserve">低证据 / 视情况</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含低剂量莫米松的乳香黄连木油鼻喷雾剂用于慢性鼻-鼻窦炎</w:t>
            </w:r>
          </w:p>
          <w:p>
            <w:pPr>
              <w:spacing w:after="0" w:before="0" w:line="320"/>
            </w:pPr>
            <w:r>
              <w:rPr>
                <w:rFonts w:ascii="Microsoft YaHei UI" w:cs="Microsoft YaHei UI" w:eastAsia="Microsoft YaHei UI" w:hAnsi="Microsoft YaHei UI"/>
                <w:color w:val="5F706E"/>
                <w:sz w:val="20"/>
                <w:szCs w:val="20"/>
              </w:rPr>
              <w:t xml:space="preserve">8月事件：首次发布（2026-08-26）；登记号：NCT07787494；登记状态：尚未招募；阶段：不适用；疾病：慢性鼻-鼻窦炎（CRS）；干预：糠酸莫米松——鼻内给药、Bactorinol鼻喷雾剂。研究说明：慢性鼻-鼻窦炎（CRS）是一种累及鼻腔和鼻窦的持续性炎症性疾病。药物治疗主要以局部疗法为基础，旨在控制黏膜炎症并改善鼻-鼻窦引流，治疗方案包括鼻用糖皮质激素和鼻腔生理盐水冲洗。本干预性、前瞻性、单组、单序列、两阶段研究旨在评估糠酸莫米松减量并引入Bactorinol®鼻喷雾剂期间慢性鼻-鼻窦炎临床控制状态的维持情况，以评价该医疗器械相较于全剂量糠酸莫米松可能存在的补充作用。</w:t>
            </w:r>
          </w:p>
          <w:p>
            <w:pPr>
              <w:spacing w:after="0" w:before="80"/>
            </w:pPr>
            <w:hyperlink w:history="1" r:id="rIdxoef-77yw_row3blu7aig">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同类竞品；Nasonex</w:t>
            </w:r>
          </w:p>
          <w:p>
            <w:pPr>
              <w:spacing w:after="0" w:before="0" w:line="320"/>
            </w:pPr>
            <w:r>
              <w:rPr>
                <w:rFonts w:ascii="Microsoft YaHei UI" w:cs="Microsoft YaHei UI" w:eastAsia="Microsoft YaHei UI" w:hAnsi="Microsoft YaHei UI"/>
                <w:color w:val="152625"/>
                <w:sz w:val="20"/>
                <w:szCs w:val="20"/>
              </w:rPr>
              <w:t xml:space="preserve">这是同类竞品路径的临床登记首次发布，并非已经证实疗效；需核对其适应症、入排标准及终点是否与迪敏思人群可比。</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2026-08-25</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9A5D15"/>
                <w:sz w:val="18"/>
                <w:szCs w:val="18"/>
              </w:rPr>
              <w:t xml:space="preserve">低证据 / 视情况</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一项评估Itepekimab（抗IL-33单克隆抗体）在无鼻息肉慢性鼻窦炎受试者中药效、安全性与耐受性的概念验证研究</w:t>
            </w:r>
          </w:p>
          <w:p>
            <w:pPr>
              <w:spacing w:after="0" w:before="0" w:line="320"/>
            </w:pPr>
            <w:r>
              <w:rPr>
                <w:rFonts w:ascii="Microsoft YaHei UI" w:cs="Microsoft YaHei UI" w:eastAsia="Microsoft YaHei UI" w:hAnsi="Microsoft YaHei UI"/>
                <w:color w:val="5F706E"/>
                <w:sz w:val="20"/>
                <w:szCs w:val="20"/>
              </w:rPr>
              <w:t xml:space="preserve">8月事件：研究登记实质更新（2026-08-25）；登记号：NCT06691113；登记状态：已完成；阶段：2期；疾病：无鼻息肉慢性鼻窦炎；干预：Itepekimab（SAR440340）、安慰剂、糠酸莫米松鼻喷雾剂（MFNS）。研究说明：ACT18421是一项多中心、随机、双盲、安慰剂对照、平行组设计的2期研究，设置3个治疗组。本研究旨在评估两种给药方案的itepekimab与安慰剂相比，在18岁及以上男性和女性无鼻息肉慢性鼻窦炎（CRSsNP）受试者中的药效、安全性与耐受性。研究详情包括：* 研究总时长为48周（4周筛选期、24周干预期、20周安全性随访期）。* 干预时长为24周。* 访视次数为7次现场访视和8次电话/远程访视。</w:t>
            </w:r>
          </w:p>
          <w:p>
            <w:pPr>
              <w:spacing w:after="0" w:before="80"/>
            </w:pPr>
            <w:hyperlink w:history="1" r:id="rIdqy4cqevxsqnbr-kzijkza">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同类竞品；Nasonex</w:t>
            </w:r>
          </w:p>
          <w:p>
            <w:pPr>
              <w:spacing w:after="0" w:before="0" w:line="320"/>
            </w:pPr>
            <w:r>
              <w:rPr>
                <w:rFonts w:ascii="Microsoft YaHei UI" w:cs="Microsoft YaHei UI" w:eastAsia="Microsoft YaHei UI" w:hAnsi="Microsoft YaHei UI"/>
                <w:color w:val="152625"/>
                <w:sz w:val="20"/>
                <w:szCs w:val="20"/>
              </w:rPr>
              <w:t xml:space="preserve">这是同类竞品路径的临床登记研究登记实质更新，并非已经证实疗效；需核对其适应症、入排标准及终点是否与迪敏思人群可比。</w:t>
            </w:r>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KOL / 专家动态</w:t>
      </w:r>
    </w:p>
    <w:tbl>
      <w:tblPr>
        <w:tblW w:type="dxa" w:w="10000"/>
        <w:tblBorders>
          <w:top w:val="single" w:color="D6E2DF" w:sz="1"/>
          <w:left w:val="single" w:color="D6E2DF" w:sz="1"/>
          <w:bottom w:val="single" w:color="D6E2DF" w:sz="1"/>
          <w:right w:val="single" w:color="D6E2DF" w:sz="1"/>
          <w:insideH w:val="single" w:color="D6E2DF" w:sz="1"/>
          <w:insideV w:val="single" w:color="D6E2DF" w:sz="1"/>
        </w:tblBorders>
      </w:tblPr>
      <w:tblGrid>
        <w:gridCol w:w="1450"/>
        <w:gridCol w:w="8550"/>
      </w:tblGrid>
      <w:tr>
        <w:trPr>
          <w:cantSplit/>
        </w:trPr>
        <w:tc>
          <w:tcPr>
            <w:tcW w:type="dxa" w:w="1450"/>
            <w:shd w:fill="FFFFFF"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2026-08-27</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FFFFF"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杨钦泰｜中山大学附属第三医院</w:t>
            </w:r>
          </w:p>
          <w:p>
            <w:pPr>
              <w:spacing w:after="70" w:before="0" w:line="340"/>
            </w:pPr>
            <w:r>
              <w:rPr>
                <w:rFonts w:ascii="Microsoft YaHei UI" w:cs="Microsoft YaHei UI" w:eastAsia="Microsoft YaHei UI" w:hAnsi="Microsoft YaHei UI"/>
                <w:b/>
                <w:bCs/>
                <w:color w:val="152625"/>
                <w:sz w:val="22"/>
                <w:szCs w:val="22"/>
              </w:rPr>
              <w:t xml:space="preserve">鼻息肉空间病理学的当前进展：人工智能的挑战、机遇和未来方向。</w:t>
            </w:r>
          </w:p>
          <w:p>
            <w:pPr>
              <w:spacing w:after="0" w:before="0" w:line="320"/>
            </w:pPr>
            <w:r>
              <w:rPr>
                <w:rFonts w:ascii="Microsoft YaHei UI" w:cs="Microsoft YaHei UI" w:eastAsia="Microsoft YaHei UI" w:hAnsi="Microsoft YaHei UI"/>
                <w:color w:val="5F706E"/>
                <w:sz w:val="20"/>
                <w:szCs w:val="20"/>
              </w:rPr>
              <w:t xml:space="preserve">研究主题：鼻息肉空间病理学的当前进展：人工智能的挑战、机遇和未来方向。。摘要要点：慢性鼻窦炎伴鼻息肉（CRSwNP）的特点是炎症异质性、上皮增生和组织重塑，空间病理学对于破译病理机制和指导临床实践至关重要。传统的组织病理学技术依赖于主观视觉评估，受到分子标记空间分辨率不足和定量分析不精确的限制。最近的进展表明，空间转录组学揭示了鼻息肉（NP）炎症异质性；深度学习能够实现自动化炎症子集识别和精确的内型预测；人工智能 (AI) 集成框架改变了组织重塑、血管生成和纤维炎症生态位的评估。支持人工智能的空间病理学将形态学和分子特征联系起来，完善 NP 内型分析，并为靶向生物治疗和精准护理铺平道路。本综述总结了传统和新兴的 NP 空间病理学方法的进展，重点关注人工智能工具及其临床转化潜力。</w:t>
            </w:r>
          </w:p>
          <w:p>
            <w:pPr>
              <w:spacing w:after="0" w:before="80"/>
            </w:pPr>
            <w:hyperlink w:history="1" r:id="rIdbmuzsvun3yfysg3my5uf5">
              <w:r>
                <w:rPr>
                  <w:rFonts w:ascii="Microsoft YaHei UI" w:cs="Microsoft YaHei UI" w:eastAsia="Microsoft YaHei UI" w:hAnsi="Microsoft YaHei UI"/>
                  <w:color w:val="1B6CA8"/>
                  <w:sz w:val="18"/>
                  <w:szCs w:val="18"/>
                  <w:u w:val="single"/>
                </w:rPr>
                <w:t xml:space="preserve">打开原始来源</w:t>
              </w:r>
            </w:hyperlink>
          </w:p>
        </w:tc>
      </w:tr>
      <w:tr>
        <w:trPr>
          <w:cantSplit/>
        </w:trPr>
        <w:tc>
          <w:tcPr>
            <w:tcW w:type="dxa" w:w="1450"/>
            <w:shd w:fill="F5F8F7"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2026-08-23</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5F8F7"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张罗｜首都医科大学附属北京同仁医院</w:t>
            </w:r>
          </w:p>
          <w:p>
            <w:pPr>
              <w:spacing w:after="70" w:before="0" w:line="340"/>
            </w:pPr>
            <w:r>
              <w:rPr>
                <w:rFonts w:ascii="Microsoft YaHei UI" w:cs="Microsoft YaHei UI" w:eastAsia="Microsoft YaHei UI" w:hAnsi="Microsoft YaHei UI"/>
                <w:b/>
                <w:bCs/>
                <w:color w:val="152625"/>
                <w:sz w:val="22"/>
                <w:szCs w:val="22"/>
              </w:rPr>
              <w:t xml:space="preserve">pumecitinib 鼻喷雾剂治疗中重度季节性过敏性鼻炎的功效、安全性和药代动力学：一项多中心、双盲、随机、安慰剂对照 2 期试验。</w:t>
            </w:r>
          </w:p>
          <w:p>
            <w:pPr>
              <w:spacing w:after="0" w:before="0" w:line="320"/>
            </w:pPr>
            <w:r>
              <w:rPr>
                <w:rFonts w:ascii="Microsoft YaHei UI" w:cs="Microsoft YaHei UI" w:eastAsia="Microsoft YaHei UI" w:hAnsi="Microsoft YaHei UI"/>
                <w:color w:val="5F706E"/>
                <w:sz w:val="20"/>
                <w:szCs w:val="20"/>
              </w:rPr>
              <w:t xml:space="preserve">研究主题：pumecitinib 鼻喷雾剂治疗中重度季节性过敏性鼻炎的功效、安全性和药代动力学：一项多中心、双盲、随机、安慰剂对照 2 期试验。。摘要要点：背景：季节性过敏性鼻炎（SAR）是一种花粉引发的疾病，会导致鼻部炎症和生活质量受损。Pumecitinib 是一种局部 Janus 激酶 (JAK) 抑制剂，可以调节过敏性炎症。我们评估了花粉季节期间 14 天的普美替尼鼻喷雾剂对中度至重度季节性过敏性鼻炎 (SAR) 患者的疗效、安全性和药代动力学。方法：这项 2 期、随机、双盲、安慰剂对照、平行组研究在中国 20 个中心进行。患有中度至重度 SAR 的 18-65 岁成年人按 1:1:1:1 随机接受安慰剂或 pumecitinib 鼻喷雾剂，剂量为 0·2 mg、1·2 mg 或 2·0 mg，每天两次，持续 14 天。</w:t>
            </w:r>
          </w:p>
          <w:p>
            <w:pPr>
              <w:spacing w:after="0" w:before="80"/>
            </w:pPr>
            <w:hyperlink w:history="1" r:id="rIdpiwcylvupbc6aks4wf0jo">
              <w:r>
                <w:rPr>
                  <w:rFonts w:ascii="Microsoft YaHei UI" w:cs="Microsoft YaHei UI" w:eastAsia="Microsoft YaHei UI" w:hAnsi="Microsoft YaHei UI"/>
                  <w:color w:val="1B6CA8"/>
                  <w:sz w:val="18"/>
                  <w:szCs w:val="18"/>
                  <w:u w:val="single"/>
                </w:rPr>
                <w:t xml:space="preserve">打开原始来源</w:t>
              </w:r>
            </w:hyperlink>
          </w:p>
        </w:tc>
      </w:tr>
      <w:tr>
        <w:trPr>
          <w:cantSplit/>
        </w:trPr>
        <w:tc>
          <w:tcPr>
            <w:tcW w:type="dxa" w:w="1450"/>
            <w:shd w:fill="FFFFFF"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2026-08-20</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FFFFF"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杨钦泰｜中山大学附属第三医院</w:t>
            </w:r>
          </w:p>
          <w:p>
            <w:pPr>
              <w:spacing w:after="70" w:before="0" w:line="340"/>
            </w:pPr>
            <w:r>
              <w:rPr>
                <w:rFonts w:ascii="Microsoft YaHei UI" w:cs="Microsoft YaHei UI" w:eastAsia="Microsoft YaHei UI" w:hAnsi="Microsoft YaHei UI"/>
                <w:b/>
                <w:bCs/>
                <w:color w:val="152625"/>
                <w:sz w:val="22"/>
                <w:szCs w:val="22"/>
              </w:rPr>
              <w:t xml:space="preserve">小青龙汤通过调节 ALOX15/GPX4 轴减轻过敏性鼻炎合并哮喘。</w:t>
            </w:r>
          </w:p>
          <w:p>
            <w:pPr>
              <w:spacing w:after="0" w:before="0" w:line="320"/>
            </w:pPr>
            <w:r>
              <w:rPr>
                <w:rFonts w:ascii="Microsoft YaHei UI" w:cs="Microsoft YaHei UI" w:eastAsia="Microsoft YaHei UI" w:hAnsi="Microsoft YaHei UI"/>
                <w:color w:val="5F706E"/>
                <w:sz w:val="20"/>
                <w:szCs w:val="20"/>
              </w:rPr>
              <w:t xml:space="preserve">研究主题：小青龙汤通过调节 ALOX15/GPX4 轴减轻过敏性鼻炎合并哮喘。。摘要要点：目的：小青龙汤（XQLD）是治疗过敏性鼻炎（AR）和哮喘的经典中药方剂。然而，其治疗过敏性鼻炎合并哮喘（ARCA）的潜在治疗机制仍不清楚。本研究采用蛋白质组学方法探讨XQLD治疗ARCA的疗效及分子机制，旨在为临床研究提供科学依据。方法：40只BALB/c小鼠随机分为四组：对照组、模型组、地塞米松治疗组和XQLD治疗组。使用卵清蛋白 (OVA) 和氢氧化铝建立 ARCA 模型。评估了气道过敏症状、OVA-sIgE 的血清水平以及鼻和肺组织的组织病理学变化。流式细胞仪分析肺、脾组织中Th1（CD4+IFN-γ+）和Th2（CD4+IL-5+）细胞比例。</w:t>
            </w:r>
          </w:p>
          <w:p>
            <w:pPr>
              <w:spacing w:after="0" w:before="80"/>
            </w:pPr>
            <w:hyperlink w:history="1" r:id="rIdll_ywwtuqus9lo6-j1vnl">
              <w:r>
                <w:rPr>
                  <w:rFonts w:ascii="Microsoft YaHei UI" w:cs="Microsoft YaHei UI" w:eastAsia="Microsoft YaHei UI" w:hAnsi="Microsoft YaHei UI"/>
                  <w:color w:val="1B6CA8"/>
                  <w:sz w:val="18"/>
                  <w:szCs w:val="18"/>
                  <w:u w:val="single"/>
                </w:rPr>
                <w:t xml:space="preserve">打开原始来源</w:t>
              </w:r>
            </w:hyperlink>
          </w:p>
        </w:tc>
      </w:tr>
      <w:tr>
        <w:trPr>
          <w:cantSplit/>
        </w:trPr>
        <w:tc>
          <w:tcPr>
            <w:tcW w:type="dxa" w:w="1450"/>
            <w:shd w:fill="F5F8F7"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2026-08-18</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5F8F7"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蒋卫红｜中南大学湘雅医院</w:t>
            </w:r>
          </w:p>
          <w:p>
            <w:pPr>
              <w:spacing w:after="70" w:before="0" w:line="340"/>
            </w:pPr>
            <w:r>
              <w:rPr>
                <w:rFonts w:ascii="Microsoft YaHei UI" w:cs="Microsoft YaHei UI" w:eastAsia="Microsoft YaHei UI" w:hAnsi="Microsoft YaHei UI"/>
                <w:b/>
                <w:bCs/>
                <w:color w:val="152625"/>
                <w:sz w:val="22"/>
                <w:szCs w:val="22"/>
              </w:rPr>
              <w:t xml:space="preserve">VCAM-1 作为区分嗜酸性 CRSwNP 的生物标志物并调节 IL-13 诱导的血管重塑。</w:t>
            </w:r>
          </w:p>
          <w:p>
            <w:pPr>
              <w:spacing w:after="0" w:before="0" w:line="320"/>
            </w:pPr>
            <w:r>
              <w:rPr>
                <w:rFonts w:ascii="Microsoft YaHei UI" w:cs="Microsoft YaHei UI" w:eastAsia="Microsoft YaHei UI" w:hAnsi="Microsoft YaHei UI"/>
                <w:color w:val="5F706E"/>
                <w:sz w:val="20"/>
                <w:szCs w:val="20"/>
              </w:rPr>
              <w:t xml:space="preserve">研究主题：VCAM-1 作为区分嗜酸性 CRSwNP 的生物标志物并调节 IL-13 诱导的血管重塑。。摘要要点：背景慢性鼻窦炎伴鼻息肉（CRSwNP）是一种高度异质性的炎症性疾病，具有不同的炎症内型。本研究旨在寻找准确区分嗜酸性粒细胞性CRSwNP（eCRSwNP）的可靠生物标志物，并探讨其在CRSwNP病理进展中的潜在作用。方法共纳入107例CRS患者（包括22例CRSsNP和85例CRSwNP）和40例健康对照。通过蛋白质微阵列结合随机森林算法筛选eCRSwNP相关差异表达蛋白。候选蛋白的表达在临床组织和血清中得到验证。应用相关性分析和受试者工作特征（ROC）曲线来评估候选分子与嗜酸性炎症和疾病预后的关联。进行苏木精和伊红（HE）染色以评估组织病理学变化。利用人脐静脉内皮细胞（HUVEC）探讨IL-13对VCAM-1表达和血管生成的调节作用。</w:t>
            </w:r>
          </w:p>
          <w:p>
            <w:pPr>
              <w:spacing w:after="0" w:before="80"/>
            </w:pPr>
            <w:hyperlink w:history="1" r:id="rIdhxwecmlk55sxb3dmcbqwb">
              <w:r>
                <w:rPr>
                  <w:rFonts w:ascii="Microsoft YaHei UI" w:cs="Microsoft YaHei UI" w:eastAsia="Microsoft YaHei UI" w:hAnsi="Microsoft YaHei UI"/>
                  <w:color w:val="1B6CA8"/>
                  <w:sz w:val="18"/>
                  <w:szCs w:val="18"/>
                  <w:u w:val="single"/>
                </w:rPr>
                <w:t xml:space="preserve">打开原始来源</w:t>
              </w:r>
            </w:hyperlink>
          </w:p>
        </w:tc>
      </w:tr>
      <w:tr>
        <w:trPr>
          <w:cantSplit/>
        </w:trPr>
        <w:tc>
          <w:tcPr>
            <w:tcW w:type="dxa" w:w="1450"/>
            <w:shd w:fill="FFFFFF"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2026-08-10</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FFFFF"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杨钦泰｜中山大学附属第三医院</w:t>
            </w:r>
          </w:p>
          <w:p>
            <w:pPr>
              <w:spacing w:after="70" w:before="0" w:line="340"/>
            </w:pPr>
            <w:r>
              <w:rPr>
                <w:rFonts w:ascii="Microsoft YaHei UI" w:cs="Microsoft YaHei UI" w:eastAsia="Microsoft YaHei UI" w:hAnsi="Microsoft YaHei UI"/>
                <w:b/>
                <w:bCs/>
                <w:color w:val="152625"/>
                <w:sz w:val="22"/>
                <w:szCs w:val="22"/>
              </w:rPr>
              <w:t xml:space="preserve">基于蛋白质组学的加味参芪丸治疗过敏性鼻炎合并哮喘的机制研究。</w:t>
            </w:r>
          </w:p>
          <w:p>
            <w:pPr>
              <w:spacing w:after="0" w:before="0" w:line="320"/>
            </w:pPr>
            <w:r>
              <w:rPr>
                <w:rFonts w:ascii="Microsoft YaHei UI" w:cs="Microsoft YaHei UI" w:eastAsia="Microsoft YaHei UI" w:hAnsi="Microsoft YaHei UI"/>
                <w:color w:val="5F706E"/>
                <w:sz w:val="20"/>
                <w:szCs w:val="20"/>
              </w:rPr>
              <w:t xml:space="preserve">研究主题：基于蛋白质组学的加味参芪丸治疗过敏性鼻炎合并哮喘的机制研究。。摘要要点：目的：探讨加味参芪丸（MSQP）治疗过敏性鼻炎合并哮喘（ARCA）的作用机制。方法：将30只BALB/c小鼠按照随机数字表法分为对照组、ARCA组、MSQP低剂量组（MSQP-L，24.6 g/kg）、MSQP高剂量组（MSQP-H，49.2 g/kg）和地塞米松（DXMS）组（1 mg/kg），每组6只。使用卵清蛋白（OVA）建立ARCA小鼠模型。MSQP和DXMS通过灌胃给药10天。评估气道过敏症状评分、血清OVA特异性免疫球蛋白E（OVA-sIgE）、鼻和肺组织的组织病理学变化。通过蛋白质组学检测肺组织中的差异蛋白表达谱。使用基因本体论（GO）和京都基因和基因组百科全书（KEGG）数据库进行差异蛋白的功能富集分析。</w:t>
            </w:r>
          </w:p>
          <w:p>
            <w:pPr>
              <w:spacing w:after="0" w:before="80"/>
            </w:pPr>
            <w:hyperlink w:history="1" r:id="rIdobvm3tqzhkdps4jvynth_">
              <w:r>
                <w:rPr>
                  <w:rFonts w:ascii="Microsoft YaHei UI" w:cs="Microsoft YaHei UI" w:eastAsia="Microsoft YaHei UI" w:hAnsi="Microsoft YaHei UI"/>
                  <w:color w:val="1B6CA8"/>
                  <w:sz w:val="18"/>
                  <w:szCs w:val="18"/>
                  <w:u w:val="single"/>
                </w:rPr>
                <w:t xml:space="preserve">打开原始来源</w:t>
              </w:r>
            </w:hyperlink>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涉及分子 / 靶点</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度普利尤单抗 / dupilumab / 不适用：抗体/融合蛋白/大分子药物，分子量和糖基化等取决于序列与生产工艺（6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盐酸氮卓斯汀+丙酸氟替卡松 / azelastine hydrochloride + fluticasone propionate / C22H25Cl2N3O + C25H31F3O5S（3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糠酸莫米松 / mometasone furoate / C27H30Cl2O6（3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布地奈德 / budesonide / C25H34O6（3 条）</w:t>
      </w:r>
    </w:p>
    <w:p>
      <w:pPr>
        <w:pStyle w:val="Heading1"/>
        <w:keepNext/>
        <w:spacing w:after="160" w:before="300" w:line="340"/>
      </w:pPr>
      <w:r>
        <w:rPr>
          <w:rFonts w:ascii="Microsoft YaHei UI" w:cs="Microsoft YaHei UI" w:eastAsia="Microsoft YaHei UI" w:hAnsi="Microsoft YaHei UI"/>
          <w:color w:val="152625"/>
          <w:sz w:val="22"/>
          <w:szCs w:val="22"/>
        </w:rPr>
        <w:t xml:space="preserve">建议跟进</w:t>
      </w:r>
    </w:p>
    <w:p>
      <w:pPr>
        <w:pStyle w:val="ListParagraph"/>
        <w:numPr>
          <w:ilvl w:val="0"/>
          <w:numId w:val="2"/>
        </w:numPr>
        <w:spacing w:after="110" w:before="0" w:line="340"/>
      </w:pPr>
      <w:r>
        <w:rPr>
          <w:rFonts w:ascii="Microsoft YaHei UI" w:cs="Microsoft YaHei UI" w:eastAsia="Microsoft YaHei UI" w:hAnsi="Microsoft YaHei UI"/>
          <w:color w:val="152625"/>
          <w:sz w:val="22"/>
          <w:szCs w:val="22"/>
        </w:rPr>
        <w:t xml:space="preserve">区分 AR、CRSwNP 和哮喘人群，不混用适应症</w:t>
      </w:r>
    </w:p>
    <w:p>
      <w:pPr>
        <w:pStyle w:val="ListParagraph"/>
        <w:numPr>
          <w:ilvl w:val="0"/>
          <w:numId w:val="2"/>
        </w:numPr>
        <w:spacing w:after="110" w:before="0" w:line="340"/>
      </w:pPr>
      <w:r>
        <w:rPr>
          <w:rFonts w:ascii="Microsoft YaHei UI" w:cs="Microsoft YaHei UI" w:eastAsia="Microsoft YaHei UI" w:hAnsi="Microsoft YaHei UI"/>
          <w:color w:val="152625"/>
          <w:sz w:val="22"/>
          <w:szCs w:val="22"/>
        </w:rPr>
        <w:t xml:space="preserve">跟踪鼻喷复方的起效、症状控制和依从性</w:t>
      </w:r>
    </w:p>
    <w:p>
      <w:pPr>
        <w:pStyle w:val="ListParagraph"/>
        <w:numPr>
          <w:ilvl w:val="0"/>
          <w:numId w:val="2"/>
        </w:numPr>
        <w:spacing w:after="110" w:before="0" w:line="340"/>
      </w:pPr>
      <w:r>
        <w:rPr>
          <w:rFonts w:ascii="Microsoft YaHei UI" w:cs="Microsoft YaHei UI" w:eastAsia="Microsoft YaHei UI" w:hAnsi="Microsoft YaHei UI"/>
          <w:color w:val="152625"/>
          <w:sz w:val="22"/>
          <w:szCs w:val="22"/>
        </w:rPr>
        <w:t xml:space="preserve">建立重症患者向生物制剂升级的证据地图</w:t>
      </w:r>
    </w:p>
    <w:sectPr>
      <w:headerReference w:type="default" r:id="rId7"/>
      <w:footerReference w:type="default" r:id="rId8"/>
      <w:pgSz w:w="11906" w:h="16838" w:orient="portrait"/>
      <w:pgMar w:top="1150" w:right="950" w:bottom="105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UI" w:cs="Microsoft YaHei UI" w:eastAsia="Microsoft YaHei UI" w:hAnsi="Microsoft YaHei UI"/>
        <w:color w:val="5F706E"/>
        <w:sz w:val="17"/>
        <w:szCs w:val="17"/>
      </w:rPr>
      <w:t xml:space="preserve">内部工作材料 ·</w:t>
    </w:r>
    <w:r>
      <w:rPr>
        <w:rFonts w:ascii="Microsoft YaHei UI" w:cs="Microsoft YaHei UI" w:eastAsia="Microsoft YaHei UI" w:hAnsi="Microsoft YaHei UI"/>
        <w:color w:val="5F706E"/>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340"/>
      <w:jc w:val="right"/>
    </w:pPr>
    <w:r>
      <w:rPr>
        <w:rFonts w:ascii="Microsoft YaHei UI" w:cs="Microsoft YaHei UI" w:eastAsia="Microsoft YaHei UI" w:hAnsi="Microsoft YaHei UI"/>
        <w:color w:val="5F706E"/>
        <w:sz w:val="17"/>
        <w:szCs w:val="17"/>
      </w:rPr>
      <w:t xml:space="preserve">迪敏思 | 2026年8月产品情报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UI" w:cs="Microsoft YaHei UI" w:eastAsia="Microsoft YaHei UI" w:hAnsi="Microsoft YaHei UI"/>
        <w:color w:val="152625"/>
        <w:sz w:val="22"/>
        <w:szCs w:val="22"/>
      </w:rPr>
    </w:rPrDefault>
    <w:pPrDefault>
      <w:pPr>
        <w:spacing w:after="120"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00"/>
    </w:pPr>
    <w:rPr>
      <w:rFonts w:ascii="Microsoft YaHei UI" w:cs="Microsoft YaHei UI" w:eastAsia="Microsoft YaHei UI" w:hAnsi="Microsoft YaHei UI"/>
      <w:b/>
      <w:bCs/>
      <w:color w:val="0B5C55"/>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iq6gbncma0z55bj4y3jta" Type="http://schemas.openxmlformats.org/officeDocument/2006/relationships/hyperlink" Target="https://pubmed.ncbi.nlm.nih.gov/42599698/" TargetMode="External"/><Relationship Id="rIdulue-i6mjd4vhbkezrkbt" Type="http://schemas.openxmlformats.org/officeDocument/2006/relationships/hyperlink" Target="https://clinicaltrials.gov/study/NCT05964465" TargetMode="External"/><Relationship Id="rIddv6sn3nwfqjuumzqw5fum" Type="http://schemas.openxmlformats.org/officeDocument/2006/relationships/hyperlink" Target="https://pubmed.ncbi.nlm.nih.gov/42647052/" TargetMode="External"/><Relationship Id="rIdw20umoibcffjauktbs9bb" Type="http://schemas.openxmlformats.org/officeDocument/2006/relationships/hyperlink" Target="https://pubmed.ncbi.nlm.nih.gov/42662515/" TargetMode="External"/><Relationship Id="rIdwmicg_psh1h_qyai4v5me" Type="http://schemas.openxmlformats.org/officeDocument/2006/relationships/hyperlink" Target="https://pubmed.ncbi.nlm.nih.gov/42712404/" TargetMode="External"/><Relationship Id="rIdf9xzcnoq8_0kojpc55wfb" Type="http://schemas.openxmlformats.org/officeDocument/2006/relationships/hyperlink" Target="https://pubmed.ncbi.nlm.nih.gov/42783669/" TargetMode="External"/><Relationship Id="rIdxoef-77yw_row3blu7aig" Type="http://schemas.openxmlformats.org/officeDocument/2006/relationships/hyperlink" Target="https://clinicaltrials.gov/study/NCT07787494" TargetMode="External"/><Relationship Id="rIdqy4cqevxsqnbr-kzijkza" Type="http://schemas.openxmlformats.org/officeDocument/2006/relationships/hyperlink" Target="https://clinicaltrials.gov/study/NCT06691113" TargetMode="External"/><Relationship Id="rIdbmuzsvun3yfysg3my5uf5" Type="http://schemas.openxmlformats.org/officeDocument/2006/relationships/hyperlink" Target="https://pubmed.ncbi.nlm.nih.gov/42662489/" TargetMode="External"/><Relationship Id="rIdpiwcylvupbc6aks4wf0jo" Type="http://schemas.openxmlformats.org/officeDocument/2006/relationships/hyperlink" Target="https://pubmed.ncbi.nlm.nih.gov/42656228/" TargetMode="External"/><Relationship Id="rIdll_ywwtuqus9lo6-j1vnl" Type="http://schemas.openxmlformats.org/officeDocument/2006/relationships/hyperlink" Target="https://pubmed.ncbi.nlm.nih.gov/42619506/" TargetMode="External"/><Relationship Id="rIdhxwecmlk55sxb3dmcbqwb" Type="http://schemas.openxmlformats.org/officeDocument/2006/relationships/hyperlink" Target="https://pubmed.ncbi.nlm.nih.gov/42610931/" TargetMode="External"/><Relationship Id="rIdobvm3tqzhkdps4jvynth_" Type="http://schemas.openxmlformats.org/officeDocument/2006/relationships/hyperlink" Target="https://pubmed.ncbi.nlm.nih.gov/42573910/"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2026年8月迪敏思关注报告</dc:title>
  <dc:creator>Codex</dc:creator>
  <cp:lastModifiedBy>Un-named</cp:lastModifiedBy>
  <cp:revision>1</cp:revision>
  <dcterms:created xsi:type="dcterms:W3CDTF">2026-09-28T09:09:20.579Z</dcterms:created>
  <dcterms:modified xsi:type="dcterms:W3CDTF">2026-09-28T09:09:20.579Z</dcterms:modified>
</cp:coreProperties>
</file>

<file path=docProps/custom.xml><?xml version="1.0" encoding="utf-8"?>
<Properties xmlns="http://schemas.openxmlformats.org/officeDocument/2006/custom-properties" xmlns:vt="http://schemas.openxmlformats.org/officeDocument/2006/docPropsVTypes"/>
</file>