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line="340"/>
      </w:pPr>
      <w:r>
        <w:rPr>
          <w:rFonts w:ascii="Microsoft YaHei UI" w:cs="Microsoft YaHei UI" w:eastAsia="Microsoft YaHei UI" w:hAnsi="Microsoft YaHei UI"/>
          <w:b/>
          <w:bCs/>
          <w:color w:val="147D73"/>
          <w:sz w:val="20"/>
          <w:szCs w:val="20"/>
        </w:rPr>
        <w:t xml:space="preserve">MONTHLY PRODUCT INTELLIGENCE</w:t>
      </w:r>
    </w:p>
    <w:p>
      <w:pPr>
        <w:spacing w:after="120" w:before="0" w:line="340"/>
      </w:pPr>
      <w:r>
        <w:rPr>
          <w:rFonts w:ascii="Microsoft YaHei UI" w:cs="Microsoft YaHei UI" w:eastAsia="Microsoft YaHei UI" w:hAnsi="Microsoft YaHei UI"/>
          <w:b/>
          <w:bCs/>
          <w:color w:val="0B5C55"/>
          <w:sz w:val="40"/>
          <w:szCs w:val="40"/>
        </w:rPr>
        <w:t xml:space="preserve">怡诺思｜2026年8月关注报告</w:t>
      </w:r>
    </w:p>
    <w:p>
      <w:pPr>
        <w:spacing w:after="360" w:before="0" w:line="340"/>
      </w:pPr>
      <w:r>
        <w:rPr>
          <w:rFonts w:ascii="Microsoft YaHei UI" w:cs="Microsoft YaHei UI" w:eastAsia="Microsoft YaHei UI" w:hAnsi="Microsoft YaHei UI"/>
          <w:color w:val="5F706E"/>
          <w:sz w:val="22"/>
          <w:szCs w:val="22"/>
        </w:rPr>
        <w:t xml:space="preserve">2026-08-01 至 2026-08-31</w:t>
      </w:r>
    </w:p>
    <w:tbl>
      <w:tblPr>
        <w:tblW w:type="dxa" w:w="10000"/>
        <w:tblBorders>
          <w:top w:val="none"/>
          <w:left w:val="none"/>
          <w:bottom w:val="none"/>
          <w:right w:val="none"/>
          <w:insideH w:val="none"/>
          <w:insideV w:val="single" w:color="FFFFFF" w:sz="8"/>
        </w:tblBorders>
      </w:tblPr>
      <w:tblGrid>
        <w:gridCol w:w="2000"/>
        <w:gridCol w:w="2000"/>
        <w:gridCol w:w="2000"/>
        <w:gridCol w:w="2000"/>
        <w:gridCol w:w="2000"/>
      </w:tblGrid>
      <w:tr>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37</w:t>
            </w:r>
          </w:p>
          <w:p>
            <w:pPr>
              <w:spacing w:after="0" w:before="0" w:line="340"/>
              <w:jc w:val="center"/>
            </w:pPr>
            <w:r>
              <w:rPr>
                <w:rFonts w:ascii="Microsoft YaHei UI" w:cs="Microsoft YaHei UI" w:eastAsia="Microsoft YaHei UI" w:hAnsi="Microsoft YaHei UI"/>
                <w:color w:val="5F706E"/>
                <w:sz w:val="19"/>
                <w:szCs w:val="19"/>
              </w:rPr>
              <w:t xml:space="preserve">有效进展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0</w:t>
            </w:r>
          </w:p>
          <w:p>
            <w:pPr>
              <w:spacing w:after="0" w:before="0" w:line="340"/>
              <w:jc w:val="center"/>
            </w:pPr>
            <w:r>
              <w:rPr>
                <w:rFonts w:ascii="Microsoft YaHei UI" w:cs="Microsoft YaHei UI" w:eastAsia="Microsoft YaHei UI" w:hAnsi="Microsoft YaHei UI"/>
                <w:color w:val="5F706E"/>
                <w:sz w:val="19"/>
                <w:szCs w:val="19"/>
              </w:rPr>
              <w:t xml:space="preserve">建议跟进</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0</w:t>
            </w:r>
          </w:p>
          <w:p>
            <w:pPr>
              <w:spacing w:after="0" w:before="0" w:line="340"/>
              <w:jc w:val="center"/>
            </w:pPr>
            <w:r>
              <w:rPr>
                <w:rFonts w:ascii="Microsoft YaHei UI" w:cs="Microsoft YaHei UI" w:eastAsia="Microsoft YaHei UI" w:hAnsi="Microsoft YaHei UI"/>
                <w:color w:val="5F706E"/>
                <w:sz w:val="19"/>
                <w:szCs w:val="19"/>
              </w:rPr>
              <w:t xml:space="preserve">高证据</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0</w:t>
            </w:r>
          </w:p>
          <w:p>
            <w:pPr>
              <w:spacing w:after="0" w:before="0" w:line="340"/>
              <w:jc w:val="center"/>
            </w:pPr>
            <w:r>
              <w:rPr>
                <w:rFonts w:ascii="Microsoft YaHei UI" w:cs="Microsoft YaHei UI" w:eastAsia="Microsoft YaHei UI" w:hAnsi="Microsoft YaHei UI"/>
                <w:color w:val="5F706E"/>
                <w:sz w:val="19"/>
                <w:szCs w:val="19"/>
              </w:rPr>
              <w:t xml:space="preserve">KOL记录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0</w:t>
            </w:r>
          </w:p>
          <w:p>
            <w:pPr>
              <w:spacing w:after="0" w:before="0" w:line="340"/>
              <w:jc w:val="center"/>
            </w:pPr>
            <w:r>
              <w:rPr>
                <w:rFonts w:ascii="Microsoft YaHei UI" w:cs="Microsoft YaHei UI" w:eastAsia="Microsoft YaHei UI" w:hAnsi="Microsoft YaHei UI"/>
                <w:color w:val="5F706E"/>
                <w:sz w:val="19"/>
                <w:szCs w:val="19"/>
              </w:rPr>
              <w:t xml:space="preserve">涉及专家</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管理层摘要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750"/>
        <w:gridCol w:w="8250"/>
      </w:tblGrid>
      <w:tr>
        <w:tc>
          <w:tcPr>
            <w:tcW w:type="dxa" w:w="1750"/>
            <w:shd w:fill="DDF1EC"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一句话结论</w:t>
            </w:r>
          </w:p>
        </w:tc>
        <w:tc>
          <w:tcPr>
            <w:tcW w:type="dxa" w:w="8250"/>
            <w:shd w:fill="F2FAF8"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8月新证据主要来自难治性抑郁的机制竞品，文拉法辛同成分新证据有限。</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发生了什么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本月纳入 37 条有效产品/竞品进展，其中 0 条建议跟进、0 条为高证据。优先记录包括《去甲文拉法辛在重度抑郁症中的真实世界有效性与耐受性：一项意大利全国多中心前瞻性队列研究。》、《艾司氯胺酮鼻喷剂在重度抑郁症患者中的真实世界临床实践、有效性与安全性：一项法国前瞻性队列研究（ELLIPSE研究）。》。</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关注什么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优先查看潜在/新机制；COMP360 等、潜在/新机制；Spravato、机制竞品；心达悦/Trintellix、机制竞品；Wellbutrin，并把同一研究在不同检索路径下的重复命中合并判断。</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为什么关注</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难治性抑郁和快速起效治疗的推进，会改变怡诺思的治疗序列、换药逻辑和疗效预期沟通。</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建议动作</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跟踪难治性抑郁研究的缓解和复发终点；比较 SNRI、安非他酮和快速起效方案的患者选择；更新停药、耐受性和长期治疗沟通。</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本月重点更新</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5400"/>
        <w:gridCol w:w="3150"/>
      </w:tblGrid>
      <w:tr>
        <w:trPr>
          <w:tblHeader/>
        </w:trPr>
        <w:tc>
          <w:tcPr>
            <w:tcW w:type="dxa" w:w="14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日期 / 来源</w:t>
            </w:r>
          </w:p>
        </w:tc>
        <w:tc>
          <w:tcPr>
            <w:tcW w:type="dxa" w:w="540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研究或事件</w:t>
            </w:r>
          </w:p>
        </w:tc>
        <w:tc>
          <w:tcPr>
            <w:tcW w:type="dxa" w:w="31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判断与动作</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2026-08-28</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去甲文拉法辛在重度抑郁症中的真实世界有效性与耐受性：一项意大利全国多中心前瞻性队列研究。</w:t>
            </w:r>
          </w:p>
          <w:p>
            <w:pPr>
              <w:spacing w:after="0" w:before="0" w:line="320"/>
            </w:pPr>
            <w:r>
              <w:rPr>
                <w:rFonts w:ascii="Microsoft YaHei UI" w:cs="Microsoft YaHei UI" w:eastAsia="Microsoft YaHei UI" w:hAnsi="Microsoft YaHei UI"/>
                <w:color w:val="5F706E"/>
                <w:sz w:val="20"/>
                <w:szCs w:val="20"/>
              </w:rPr>
              <w:t xml:space="preserve">论文内容：引言：关于去甲文拉法辛在重性抑郁障碍（MDD）中有效性与耐受性的真实世界证据仍然有限，在临床异质性人群中尤为突出。本多中心观察性研究评估了去甲文拉法辛的真实世界有效性与耐受性，重点关注抑郁和焦虑症状、应答、缓解以及不良反应负担。方法：这项多中心前瞻性观察性研究纳入197名符合DSM-5-TR重性抑郁发作诊断、开始使用去甲文拉法辛治疗的门诊患者。分别在基线（T0）、1个月（T1）和3个月（T2）时进行评估。抑郁症状（MADRS）为主要终点； 焦虑（HAM-A）、躁狂症状（YMRS）和耐受性（ASEC）为次要终点。应答定义为MADRS评分降低≥50%，缓解定义为MADRS评分&lt;10分。结果：受试者平均年龄46.1±14.</w:t>
            </w:r>
          </w:p>
          <w:p>
            <w:pPr>
              <w:spacing w:after="0" w:before="80"/>
            </w:pPr>
            <w:hyperlink w:history="1" r:id="rIdelfni7xvmrgpg0cbhlkzz">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直接竞品；Pristiq</w:t>
            </w:r>
          </w:p>
          <w:p>
            <w:pPr>
              <w:spacing w:after="0" w:before="0" w:line="320"/>
            </w:pPr>
            <w:r>
              <w:rPr>
                <w:rFonts w:ascii="Microsoft YaHei UI" w:cs="Microsoft YaHei UI" w:eastAsia="Microsoft YaHei UI" w:hAnsi="Microsoft YaHei UI"/>
                <w:color w:val="152625"/>
                <w:sz w:val="20"/>
                <w:szCs w:val="20"/>
              </w:rPr>
              <w:t xml:space="preserve">该文涉及琥珀酸去甲文拉法辛及怡诺思的直接竞品追踪路径；应依据原文研究人群、终点与研究设计判断临床适用性，不把题名当作疗效结论。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2026-08-31</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艾司氯胺酮鼻喷剂在重度抑郁症患者中的真实世界临床实践、有效性与安全性：一项法国前瞻性队列研究（ELLIPSE研究）。</w:t>
            </w:r>
          </w:p>
          <w:p>
            <w:pPr>
              <w:spacing w:after="0" w:before="0" w:line="320"/>
            </w:pPr>
            <w:r>
              <w:rPr>
                <w:rFonts w:ascii="Microsoft YaHei UI" w:cs="Microsoft YaHei UI" w:eastAsia="Microsoft YaHei UI" w:hAnsi="Microsoft YaHei UI"/>
                <w:color w:val="5F706E"/>
                <w:sz w:val="20"/>
                <w:szCs w:val="20"/>
              </w:rPr>
              <w:t xml:space="preserve">论文内容：背景：重度抑郁症（MDD）患病率极高，且与显著的残疾及死亡风险相关。难治性抑郁症（TRD）定义为对≥2线抗抑郁治疗应答不足，目前仍是主要的治疗挑战。艾司氯胺酮鼻喷剂于2019年获批用于TRD，随机试验已证实其有效性与安全性，但真实世界证据仍较为有限。目的：ELLIPSE研究旨在描述法国常规临床实践中接受艾司氯胺酮治疗患者的特征、治疗模式及12个月结局。研究设计：ELLIPSE是一项前瞻性、多中心、观察性队列研究，纳入2021年12月至2023年7月期间起始使用艾司氯胺酮的单相重度抑郁症成人患者，随访时长为12个月。研究方法：通过标准化临床评估收集数据。使用蒙哥马利-阿斯伯格抑郁评定量表（MADRS）评估疗效。</w:t>
            </w:r>
          </w:p>
          <w:p>
            <w:pPr>
              <w:spacing w:after="0" w:before="80"/>
            </w:pPr>
            <w:hyperlink w:history="1" r:id="rIdvffzvrgnu40twbvpgek20">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潜在/新机制；Spravato</w:t>
            </w:r>
          </w:p>
          <w:p>
            <w:pPr>
              <w:spacing w:after="0" w:before="0" w:line="320"/>
            </w:pPr>
            <w:r>
              <w:rPr>
                <w:rFonts w:ascii="Microsoft YaHei UI" w:cs="Microsoft YaHei UI" w:eastAsia="Microsoft YaHei UI" w:hAnsi="Microsoft YaHei UI"/>
                <w:color w:val="152625"/>
                <w:sz w:val="20"/>
                <w:szCs w:val="20"/>
              </w:rPr>
              <w:t xml:space="preserve">该文涉及盐酸艾司氯胺酮及怡诺思的潜在/新机制追踪路径；应依据原文研究人群、终点与研究设计判断临床适用性，不把题名当作疗效结论。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2026-08-29</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基于艾司氯胺酮的治疗、针对抑郁的元认知训练及其联合方案用于难治性抑郁：一项多中心观察性研究中抑郁症状和反刍思维的6个月变化轨迹。</w:t>
            </w:r>
          </w:p>
          <w:p>
            <w:pPr>
              <w:spacing w:after="0" w:before="0" w:line="320"/>
            </w:pPr>
            <w:r>
              <w:rPr>
                <w:rFonts w:ascii="Microsoft YaHei UI" w:cs="Microsoft YaHei UI" w:eastAsia="Microsoft YaHei UI" w:hAnsi="Microsoft YaHei UI"/>
                <w:color w:val="5F706E"/>
                <w:sz w:val="20"/>
                <w:szCs w:val="20"/>
              </w:rPr>
              <w:t xml:space="preserve">论文内容：难治性抑郁症（TRD）仍是一种负担极重的临床疾病，抑郁严重程度的改善并不一定意味着反刍等适应不良性认知-情感过程出现同步改变。我们在常规临床照护中比较了三种积极治疗条件下抑郁症状与抑郁反刍的6个月变化轨迹：不接受抑郁症特异性元认知训练的基于艾司氯胺酮鼻喷剂的治疗（ESK）、不接触艾司氯胺酮的抑郁症特异性元认知训练（D-MCT），以及艾司氯胺酮联合D-MCT治疗（D-MCT + ESK）。在65例接受筛查的患者中，12例因至少存在1项绝对禁忌证被排除，最终53例入组（ESK组n=15，D-MCT组n=12，D-MCT + ESK组n=26）。</w:t>
            </w:r>
          </w:p>
          <w:p>
            <w:pPr>
              <w:spacing w:after="0" w:before="80"/>
            </w:pPr>
            <w:hyperlink w:history="1" r:id="rIdknfqccle3zsufcyjhweac">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潜在/新机制；Spravato</w:t>
            </w:r>
          </w:p>
          <w:p>
            <w:pPr>
              <w:spacing w:after="0" w:before="0" w:line="320"/>
            </w:pPr>
            <w:r>
              <w:rPr>
                <w:rFonts w:ascii="Microsoft YaHei UI" w:cs="Microsoft YaHei UI" w:eastAsia="Microsoft YaHei UI" w:hAnsi="Microsoft YaHei UI"/>
                <w:color w:val="152625"/>
                <w:sz w:val="20"/>
                <w:szCs w:val="20"/>
              </w:rPr>
              <w:t xml:space="preserve">该文涉及盐酸艾司氯胺酮及怡诺思的潜在/新机制追踪路径；应依据原文研究人群、终点与研究设计判断临床适用性，不把题名当作疗效结论。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2026-08-18</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低证据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成年重度抑郁症女性患者中可能与去甲文拉法辛相关的低血糖症。</w:t>
            </w:r>
          </w:p>
          <w:p>
            <w:pPr>
              <w:spacing w:after="0" w:before="0" w:line="320"/>
            </w:pPr>
            <w:r>
              <w:rPr>
                <w:rFonts w:ascii="Microsoft YaHei UI" w:cs="Microsoft YaHei UI" w:eastAsia="Microsoft YaHei UI" w:hAnsi="Microsoft YaHei UI"/>
                <w:color w:val="5F706E"/>
                <w:sz w:val="20"/>
                <w:szCs w:val="20"/>
              </w:rPr>
              <w:t xml:space="preserve">来源未提供摘要，不能据此判断研究结论。原始期刊：Asian journal of psychiatry；PMID：42623942。</w:t>
            </w:r>
          </w:p>
          <w:p>
            <w:pPr>
              <w:spacing w:after="0" w:before="80"/>
            </w:pPr>
            <w:hyperlink w:history="1" r:id="rIdqb8ttbqmmzrv-htnvehu1">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直接竞品；Pristiq</w:t>
            </w:r>
          </w:p>
          <w:p>
            <w:pPr>
              <w:spacing w:after="0" w:before="0" w:line="320"/>
            </w:pPr>
            <w:r>
              <w:rPr>
                <w:rFonts w:ascii="Microsoft YaHei UI" w:cs="Microsoft YaHei UI" w:eastAsia="Microsoft YaHei UI" w:hAnsi="Microsoft YaHei UI"/>
                <w:color w:val="152625"/>
                <w:sz w:val="20"/>
                <w:szCs w:val="20"/>
              </w:rPr>
              <w:t xml:space="preserve">该文涉及琥珀酸去甲文拉法辛及怡诺思的直接竞品追踪路径；应依据原文研究人群、终点与研究设计判断临床适用性，不把题名当作疗效结论。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2026-08-20</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安非他酮与选择性5-羟色胺再摄取抑制剂用于伴共病肥胖的重性抑郁障碍的缓解结局：一项倾向匹配队列分析。</w:t>
            </w:r>
          </w:p>
          <w:p>
            <w:pPr>
              <w:spacing w:after="0" w:before="0" w:line="320"/>
            </w:pPr>
            <w:r>
              <w:rPr>
                <w:rFonts w:ascii="Microsoft YaHei UI" w:cs="Microsoft YaHei UI" w:eastAsia="Microsoft YaHei UI" w:hAnsi="Microsoft YaHei UI"/>
                <w:color w:val="5F706E"/>
                <w:sz w:val="20"/>
                <w:szCs w:val="20"/>
              </w:rPr>
              <w:t xml:space="preserve">论文内容：评估抗抑郁药疗效的观察性研究及临床试验二次分析提示，具有去甲肾上腺素能和多巴胺能作用机制的药物在管理肥胖患者重性抑郁障碍（MDD）症状方面，可能比单纯作用于5-羟色胺能的药物更有效。本研究旨在比较安非他酮与选择性5-羟色胺再摄取抑制剂（SSRIs）在无既往抗抑郁药用药记录的共病MDD与肥胖患者中的疗效。这是一项利用TriNetX数据库内全球队列开展的回顾性、倾向得分匹配的观察性研究。将18岁及以上伴有重性抑郁发作和肥胖的成人分为两个队列：1）安非他酮暴露组，2）SSRIs暴露组。排除在索引事件前有抗抑郁药暴露史的患者。两个队列基于16项协变量进行倾向匹配。主要结局为重性抑郁发作的缓解。</w:t>
            </w:r>
          </w:p>
          <w:p>
            <w:pPr>
              <w:spacing w:after="0" w:before="80"/>
            </w:pPr>
            <w:hyperlink w:history="1" r:id="rIduazqbdwwohr-xkz9gacgv">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机制竞品；Wellbutrin</w:t>
            </w:r>
          </w:p>
          <w:p>
            <w:pPr>
              <w:spacing w:after="0" w:before="0" w:line="320"/>
            </w:pPr>
            <w:r>
              <w:rPr>
                <w:rFonts w:ascii="Microsoft YaHei UI" w:cs="Microsoft YaHei UI" w:eastAsia="Microsoft YaHei UI" w:hAnsi="Microsoft YaHei UI"/>
                <w:color w:val="152625"/>
                <w:sz w:val="20"/>
                <w:szCs w:val="20"/>
              </w:rPr>
              <w:t xml:space="preserve">该文涉及盐酸安非他酮及怡诺思的机制竞品追踪路径；应依据原文研究人群、终点与研究设计判断临床适用性，不把题名当作疗效结论。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2026-08-17</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产后抑郁症中的Zuranolone：机制创新、临床证据与转化不确定性。</w:t>
            </w:r>
          </w:p>
          <w:p>
            <w:pPr>
              <w:spacing w:after="0" w:before="0" w:line="320"/>
            </w:pPr>
            <w:r>
              <w:rPr>
                <w:rFonts w:ascii="Microsoft YaHei UI" w:cs="Microsoft YaHei UI" w:eastAsia="Microsoft YaHei UI" w:hAnsi="Microsoft YaHei UI"/>
                <w:color w:val="5F706E"/>
                <w:sz w:val="20"/>
                <w:szCs w:val="20"/>
              </w:rPr>
              <w:t xml:space="preserve">论文内容：产后抑郁症是一种具有临床意义的围生期精神疾病，会对产妇功能、婴儿照护、家庭关系及医疗参与产生影响。尽管心理治疗、社会心理支持和常规抗抑郁药仍是治疗的核心，但仍存在重要的治疗缺口，包括常规抗抑郁药起效延迟、治疗应答不稳定或不完全、耐受性问题，以及及时获取专科围生期精神医疗服务的障碍，尤其是在临床需要快速改善症状的情况下。Zuranolone是一种口服神经活性类固醇，为γ-氨基丁酸A型受体的正向变构调节剂，采用14天的短疗程给药。关键的安慰剂对照试验表明，产后抑郁症成人患者的抑郁症状在短期内得到快速改善，支持其作为适应症特异性治疗药物获得监管批准。</w:t>
            </w:r>
          </w:p>
          <w:p>
            <w:pPr>
              <w:spacing w:after="0" w:before="80"/>
            </w:pPr>
            <w:hyperlink w:history="1" r:id="rId0stxkxqcgbwzbysau7a9e">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潜在/新机制；Zurzuvae</w:t>
            </w:r>
          </w:p>
          <w:p>
            <w:pPr>
              <w:spacing w:after="0" w:before="0" w:line="320"/>
            </w:pPr>
            <w:r>
              <w:rPr>
                <w:rFonts w:ascii="Microsoft YaHei UI" w:cs="Microsoft YaHei UI" w:eastAsia="Microsoft YaHei UI" w:hAnsi="Microsoft YaHei UI"/>
                <w:color w:val="152625"/>
                <w:sz w:val="20"/>
                <w:szCs w:val="20"/>
              </w:rPr>
              <w:t xml:space="preserve">该文涉及祖拉诺龙及怡诺思的潜在/新机制追踪路径；应依据原文研究人群、终点与研究设计判断临床适用性，不把题名当作疗效结论。</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2026-08-12</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精神病学领域的裸盖菇素辅助治疗：机制、临床应用与2025-2026年最新证据的叙述性临床综述。</w:t>
            </w:r>
          </w:p>
          <w:p>
            <w:pPr>
              <w:spacing w:after="0" w:before="0" w:line="320"/>
            </w:pPr>
            <w:r>
              <w:rPr>
                <w:rFonts w:ascii="Microsoft YaHei UI" w:cs="Microsoft YaHei UI" w:eastAsia="Microsoft YaHei UI" w:hAnsi="Microsoft YaHei UI"/>
                <w:color w:val="5F706E"/>
                <w:sz w:val="20"/>
                <w:szCs w:val="20"/>
              </w:rPr>
              <w:t xml:space="preserve">论文内容：背景/目的：裸盖菇素辅助治疗已从早期的概念验证研究发展为证据基础大幅扩充的阶段，2025年至2026年间发表的4项关键研究尚未纳入既往综述。本综述整合了裸盖菇素的药理学与神经生物学基础，并评估其在重度抑郁症（MDD）、难治性抑郁症（TRD）、创伤后应激障碍（PTSD）、癌症相关痛苦及物质使用障碍中的临床证据，重点关注长期疗效持久性、拓展适应症及方法学局限性。方法：通过对PubMed/MEDLINE、Embase、Scopus和Web of Science（2000年1月—2026年4月）进行定向检索开展叙述性综述，重点关注2025—2026年的发表文献。</w:t>
            </w:r>
          </w:p>
          <w:p>
            <w:pPr>
              <w:spacing w:after="0" w:before="80"/>
            </w:pPr>
            <w:hyperlink w:history="1" r:id="rId98zbfx8lgtogo2guoqwlp">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潜在/新机制；COMP360 等</w:t>
            </w:r>
          </w:p>
          <w:p>
            <w:pPr>
              <w:spacing w:after="0" w:before="0" w:line="320"/>
            </w:pPr>
            <w:r>
              <w:rPr>
                <w:rFonts w:ascii="Microsoft YaHei UI" w:cs="Microsoft YaHei UI" w:eastAsia="Microsoft YaHei UI" w:hAnsi="Microsoft YaHei UI"/>
                <w:color w:val="152625"/>
                <w:sz w:val="20"/>
                <w:szCs w:val="20"/>
              </w:rPr>
              <w:t xml:space="preserve">该文涉及裸盖菇素及怡诺思的潜在/新机制追踪路径；应依据原文研究人群、终点与研究设计判断临床适用性，不把题名当作疗效结论。</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2026-08-10</w:t>
            </w:r>
          </w:p>
          <w:p>
            <w:pPr>
              <w:spacing w:after="60" w:before="0" w:line="340"/>
            </w:pPr>
            <w:r>
              <w:rPr>
                <w:rFonts w:ascii="Microsoft YaHei UI" w:cs="Microsoft YaHei UI" w:eastAsia="Microsoft YaHei UI" w:hAnsi="Microsoft YaHei UI"/>
                <w:color w:val="5F706E"/>
                <w:sz w:val="22"/>
                <w:szCs w:val="22"/>
              </w:rPr>
              <w:t xml:space="preserve">PubMed</w:t>
            </w:r>
          </w:p>
          <w:p>
            <w:pPr>
              <w:spacing w:after="0" w:before="0" w:line="340"/>
            </w:pPr>
            <w:r>
              <w:rPr>
                <w:rFonts w:ascii="Microsoft YaHei UI" w:cs="Microsoft YaHei UI" w:eastAsia="Microsoft YaHei UI" w:hAnsi="Microsoft YaHei UI"/>
                <w:color w:val="9A5D15"/>
                <w:sz w:val="18"/>
                <w:szCs w:val="18"/>
              </w:rPr>
              <w:t xml:space="preserve">中证据 / 视情况</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重复经颅磁刺激（rTMS）与伏硫西汀在重性抑郁障碍中的临床及认知结局比较。</w:t>
            </w:r>
          </w:p>
          <w:p>
            <w:pPr>
              <w:spacing w:after="0" w:before="0" w:line="320"/>
            </w:pPr>
            <w:r>
              <w:rPr>
                <w:rFonts w:ascii="Microsoft YaHei UI" w:cs="Microsoft YaHei UI" w:eastAsia="Microsoft YaHei UI" w:hAnsi="Microsoft YaHei UI"/>
                <w:color w:val="5F706E"/>
                <w:sz w:val="20"/>
                <w:szCs w:val="20"/>
              </w:rPr>
              <w:t xml:space="preserve">论文内容：目的：认知功能障碍是重性抑郁障碍（MDD）的核心特征。尽管重复经颅磁刺激（rTMS）与伏硫西汀均已被证实具有认知改善作用，但二者直接比较的证据仍然有限。本研究对比了rTMS与伏硫西汀用于MDD患者的临床及认知结局。方法：在这项为期8周的自然研究中，40名MDD患者接受rTMS（n=25）或伏硫西汀（n=15）治疗。采用蒙哥马利-阿斯伯格抑郁评定量表（MADRS）评估抑郁症状。通过感知缺陷问卷-抑郁版（PDQ-D）、连线测验B部分（TMT-B）、斯特鲁普测验和威斯康星卡片分类测验（WCST）评估认知表现。采用线性混合效应模型分析纵向变化，采用校正基线认知表现及相关临床协变量的协方差分析检验第8周的结局。</w:t>
            </w:r>
          </w:p>
          <w:p>
            <w:pPr>
              <w:spacing w:after="0" w:before="80"/>
            </w:pPr>
            <w:hyperlink w:history="1" r:id="rIdokb8gfxsspvkqabaa1eyy">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机制竞品；心达悦/Trintellix</w:t>
            </w:r>
          </w:p>
          <w:p>
            <w:pPr>
              <w:spacing w:after="0" w:before="0" w:line="320"/>
            </w:pPr>
            <w:r>
              <w:rPr>
                <w:rFonts w:ascii="Microsoft YaHei UI" w:cs="Microsoft YaHei UI" w:eastAsia="Microsoft YaHei UI" w:hAnsi="Microsoft YaHei UI"/>
                <w:color w:val="152625"/>
                <w:sz w:val="20"/>
                <w:szCs w:val="20"/>
              </w:rPr>
              <w:t xml:space="preserve">该文涉及氢溴酸伏硫西汀及怡诺思的机制竞品追踪路径；应依据原文研究人群、终点与研究设计判断临床适用性，不把题名当作疗效结论。</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KOL / 专家动态</w:t>
      </w:r>
    </w:p>
    <w:p>
      <w:pPr>
        <w:spacing w:after="140" w:before="0" w:line="340"/>
      </w:pPr>
      <w:r>
        <w:rPr>
          <w:rFonts w:ascii="Microsoft YaHei UI" w:cs="Microsoft YaHei UI" w:eastAsia="Microsoft YaHei UI" w:hAnsi="Microsoft YaHei UI"/>
          <w:color w:val="5F706E"/>
          <w:sz w:val="22"/>
          <w:szCs w:val="22"/>
        </w:rPr>
        <w:t xml:space="preserve">本月未检索到可确认身份的产品相关专家记录。</w:t>
      </w:r>
    </w:p>
    <w:p>
      <w:pPr>
        <w:pStyle w:val="Heading1"/>
        <w:keepNext/>
        <w:spacing w:after="160" w:before="300" w:line="340"/>
      </w:pPr>
      <w:r>
        <w:rPr>
          <w:rFonts w:ascii="Microsoft YaHei UI" w:cs="Microsoft YaHei UI" w:eastAsia="Microsoft YaHei UI" w:hAnsi="Microsoft YaHei UI"/>
          <w:color w:val="152625"/>
          <w:sz w:val="22"/>
          <w:szCs w:val="22"/>
        </w:rPr>
        <w:t xml:space="preserve">涉及分子 / 靶点</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裸盖菇素 / psilocybin / C12H17N2O4P（12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盐酸艾司氯胺酮 / esketamine hydrochloride / C13H17Cl2NO（10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氢溴酸伏硫西汀 / vortioxetine hydrobromide / C18H23BrN2S（4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盐酸安非他酮 / bupropion hydrochloride / C13H19Cl2NO（4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盐酸舍曲林 / sertraline hydrochloride / C17H18Cl3N（2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琥珀酸去甲文拉法辛 / desvenlafaxine succinate / C20H33NO7（2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米氮平 / mirtazapine / C17H19N3（1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祖拉诺龙 / zuranolone / C25H35N3O2（1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盐酸度洛西汀 / duloxetine hydrochloride / C18H20ClNOS（1 条）</w:t>
      </w:r>
    </w:p>
    <w:p>
      <w:pPr>
        <w:pStyle w:val="Heading1"/>
        <w:keepNext/>
        <w:spacing w:after="160" w:before="300" w:line="340"/>
      </w:pPr>
      <w:r>
        <w:rPr>
          <w:rFonts w:ascii="Microsoft YaHei UI" w:cs="Microsoft YaHei UI" w:eastAsia="Microsoft YaHei UI" w:hAnsi="Microsoft YaHei UI"/>
          <w:color w:val="152625"/>
          <w:sz w:val="22"/>
          <w:szCs w:val="22"/>
        </w:rPr>
        <w:t xml:space="preserve">建议跟进</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跟踪难治性抑郁研究的缓解和复发终点</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比较 SNRI、安非他酮和快速起效方案的患者选择</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更新停药、耐受性和长期治疗沟通</w:t>
      </w:r>
    </w:p>
    <w:sectPr>
      <w:headerReference w:type="default" r:id="rId7"/>
      <w:footerReference w:type="default" r:id="rId8"/>
      <w:pgSz w:w="11906" w:h="16838" w:orient="portrait"/>
      <w:pgMar w:top="1150" w:right="950" w:bottom="105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UI" w:cs="Microsoft YaHei UI" w:eastAsia="Microsoft YaHei UI" w:hAnsi="Microsoft YaHei UI"/>
        <w:color w:val="5F706E"/>
        <w:sz w:val="17"/>
        <w:szCs w:val="17"/>
      </w:rPr>
      <w:t xml:space="preserve">内部工作材料 ·</w:t>
    </w:r>
    <w:r>
      <w:rPr>
        <w:rFonts w:ascii="Microsoft YaHei UI" w:cs="Microsoft YaHei UI" w:eastAsia="Microsoft YaHei UI" w:hAnsi="Microsoft YaHei UI"/>
        <w:color w:val="5F706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40"/>
      <w:jc w:val="right"/>
    </w:pPr>
    <w:r>
      <w:rPr>
        <w:rFonts w:ascii="Microsoft YaHei UI" w:cs="Microsoft YaHei UI" w:eastAsia="Microsoft YaHei UI" w:hAnsi="Microsoft YaHei UI"/>
        <w:color w:val="5F706E"/>
        <w:sz w:val="17"/>
        <w:szCs w:val="17"/>
      </w:rPr>
      <w:t xml:space="preserve">怡诺思 | 2026年8月产品情报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UI" w:cs="Microsoft YaHei UI" w:eastAsia="Microsoft YaHei UI" w:hAnsi="Microsoft YaHei UI"/>
        <w:color w:val="152625"/>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pPr>
    <w:rPr>
      <w:rFonts w:ascii="Microsoft YaHei UI" w:cs="Microsoft YaHei UI" w:eastAsia="Microsoft YaHei UI" w:hAnsi="Microsoft YaHei UI"/>
      <w:b/>
      <w:bCs/>
      <w:color w:val="0B5C55"/>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lfni7xvmrgpg0cbhlkzz" Type="http://schemas.openxmlformats.org/officeDocument/2006/relationships/hyperlink" Target="https://pubmed.ncbi.nlm.nih.gov/42700488/" TargetMode="External"/><Relationship Id="rIdvffzvrgnu40twbvpgek20" Type="http://schemas.openxmlformats.org/officeDocument/2006/relationships/hyperlink" Target="https://pubmed.ncbi.nlm.nih.gov/42682977/" TargetMode="External"/><Relationship Id="rIdknfqccle3zsufcyjhweac" Type="http://schemas.openxmlformats.org/officeDocument/2006/relationships/hyperlink" Target="https://pubmed.ncbi.nlm.nih.gov/42667415/" TargetMode="External"/><Relationship Id="rIdqb8ttbqmmzrv-htnvehu1" Type="http://schemas.openxmlformats.org/officeDocument/2006/relationships/hyperlink" Target="https://pubmed.ncbi.nlm.nih.gov/42623942/" TargetMode="External"/><Relationship Id="rIduazqbdwwohr-xkz9gacgv" Type="http://schemas.openxmlformats.org/officeDocument/2006/relationships/hyperlink" Target="https://pubmed.ncbi.nlm.nih.gov/42624215/" TargetMode="External"/><Relationship Id="rId0stxkxqcgbwzbysau7a9e" Type="http://schemas.openxmlformats.org/officeDocument/2006/relationships/hyperlink" Target="https://pubmed.ncbi.nlm.nih.gov/42751664/" TargetMode="External"/><Relationship Id="rId98zbfx8lgtogo2guoqwlp" Type="http://schemas.openxmlformats.org/officeDocument/2006/relationships/hyperlink" Target="https://pubmed.ncbi.nlm.nih.gov/42652632/" TargetMode="External"/><Relationship Id="rIdokb8gfxsspvkqabaa1eyy" Type="http://schemas.openxmlformats.org/officeDocument/2006/relationships/hyperlink" Target="https://pubmed.ncbi.nlm.nih.gov/42572813/"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2026年8月怡诺思关注报告</dc:title>
  <dc:creator>Codex</dc:creator>
  <cp:lastModifiedBy>Un-named</cp:lastModifiedBy>
  <cp:revision>1</cp:revision>
  <dcterms:created xsi:type="dcterms:W3CDTF">2026-09-28T09:09:20.571Z</dcterms:created>
  <dcterms:modified xsi:type="dcterms:W3CDTF">2026-09-28T09:09:20.571Z</dcterms:modified>
</cp:coreProperties>
</file>

<file path=docProps/custom.xml><?xml version="1.0" encoding="utf-8"?>
<Properties xmlns="http://schemas.openxmlformats.org/officeDocument/2006/custom-properties" xmlns:vt="http://schemas.openxmlformats.org/officeDocument/2006/docPropsVTypes"/>
</file>