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利加隆｜2026年8月关注报告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22</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8月肝病证据以 MASH 与 PBC 竞品研究为主，直接水飞蓟素证据有限，不宜外推疗效。</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22 条有效产品/竞品进展，其中 1 条建议跟进、0 条为高证据。优先记录包括《甘草酸制剂在药物性肝损伤（DILI）中的精准治疗与前沿进展。》、《辅助用药双环醇启用与早发型重度妊娠相关性胆汁淤积症生化指标趋势不一致的时间关联性：一例病例报告。》。</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优先查看潜在竞品；Ozempic/Wegovy 同类、直接竞品；优思弗、潜在竞品；Rezdiffra、直接竞品；乙酰半胱氨酸，并把同一研究在不同检索路径下的重复命中合并判断。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MASH/NAFLD 和代谢治疗的进展会改变患者管理重点，也会影响利加隆在肝损伤与长期肝病管理中的证据表达。</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区分药物性肝损伤、病毒性肝炎和代谢性肝病证据；跟踪抗纤维化及 GLP-1 相关肝脏终点；更新利加隆与直接、间接竞品的证据对照。</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2026-08-10</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甘草酸制剂在药物性肝损伤（DILI）中的精准治疗与前沿进展。</w:t>
            </w:r>
          </w:p>
          <w:p>
            <w:pPr>
              <w:spacing w:after="0" w:before="0" w:line="320"/>
            </w:pPr>
            <w:r>
              <w:rPr>
                <w:rFonts w:ascii="Microsoft YaHei UI" w:cs="Microsoft YaHei UI" w:eastAsia="Microsoft YaHei UI" w:hAnsi="Microsoft YaHei UI"/>
                <w:color w:val="5F706E"/>
                <w:sz w:val="20"/>
                <w:szCs w:val="20"/>
              </w:rPr>
              <w:t xml:space="preserve">论文内容：药物性肝损伤（DILI）是临床实践中一类重要的药源性疾病，其发病机制复杂，诊断与治疗均存在挑战。甘草酸制剂是一类源自传统中药材甘草的肝脏保护剂，凭借其多靶点、多通路的药理作用，在DILI治疗中显示出显著疗效。目前，该类制剂已被多部国内外指南推荐为DILI的核心治疗药物。本综述深入探讨了甘草酸制剂治疗DILI的前沿循证医学证据及其在各类指南中的推荐地位，系统阐述了基于DILI分型、严重程度及特殊人群的甘草酸制剂精准治疗策略，细致分析了其调控肠-肝轴、表观遗传修饰等前沿作用机制，讨论了临床应用中存在的不良反应、疗效预测标志物等挑战及优化方案，并展望了未来的研究方向。</w:t>
            </w:r>
          </w:p>
          <w:p>
            <w:pPr>
              <w:spacing w:after="0" w:before="80"/>
            </w:pPr>
            <w:hyperlink w:history="1" r:id="rId9hwwa0zqhdmme4uo0qra1">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间接竞品；美能</w:t>
            </w:r>
          </w:p>
          <w:p>
            <w:pPr>
              <w:spacing w:after="0" w:before="0" w:line="320"/>
            </w:pPr>
            <w:r>
              <w:rPr>
                <w:rFonts w:ascii="Microsoft YaHei UI" w:cs="Microsoft YaHei UI" w:eastAsia="Microsoft YaHei UI" w:hAnsi="Microsoft YaHei UI"/>
                <w:color w:val="152625"/>
                <w:sz w:val="20"/>
                <w:szCs w:val="20"/>
              </w:rPr>
              <w:t xml:space="preserve">该文涉及复方甘草酸苷及利加隆的间接竞品追踪路径；应依据原文研究人群、终点与研究设计判断临床适用性，不把题名当作疗效结论。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低证据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辅助用药双环醇启用与早发型重度妊娠相关性胆汁淤积症生化指标趋势不一致的时间关联性：一例病例报告。</w:t>
            </w:r>
          </w:p>
          <w:p>
            <w:pPr>
              <w:spacing w:after="0" w:before="0" w:line="320"/>
            </w:pPr>
            <w:r>
              <w:rPr>
                <w:rFonts w:ascii="Microsoft YaHei UI" w:cs="Microsoft YaHei UI" w:eastAsia="Microsoft YaHei UI" w:hAnsi="Microsoft YaHei UI"/>
                <w:color w:val="5F706E"/>
                <w:sz w:val="20"/>
                <w:szCs w:val="20"/>
              </w:rPr>
              <w:t xml:space="preserve">论文内容：背景：具有非典型特征的重度早发型妊娠相关胆汁淤积，可能反映在潜在肝胆疾病基础上叠加了妊娠期肝内胆汁淤积症（ICP）成分。有关双环醇在妊娠期使用的证据十分有限。病例介绍：一名34岁孕妇，在妊娠15周时出现掌跖瘙痒和重度胆汁淤积。她既往接受过胆囊切除术和胆总管探查术。初步诊断为妊娠相关胆汁淤积，可能在疑似慢性肝胆功能障碍的基础上叠加了ICP成分。尽管使用熊去氧胆酸、腺苷蛋氨酸、谷胱甘肽和多烯磷脂酰胆碱治疗，生化指标异常仍持续存在。在妊娠29周时超说明书添加双环醇50 mg每日三次，持续约5周。加用双环醇前，丙氨酸氨基转移酶（ALT）水平为724至1492 U/L，总胆汁酸（TBA）水平为111.2至224.6 μmol/L。</w:t>
            </w:r>
          </w:p>
          <w:p>
            <w:pPr>
              <w:spacing w:after="0" w:before="80"/>
            </w:pPr>
            <w:hyperlink w:history="1" r:id="rIdvetpirjzfydklfc11ifl3">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直接竞品；百赛诺</w:t>
            </w:r>
          </w:p>
          <w:p>
            <w:pPr>
              <w:spacing w:after="0" w:before="0" w:line="320"/>
            </w:pPr>
            <w:r>
              <w:rPr>
                <w:rFonts w:ascii="Microsoft YaHei UI" w:cs="Microsoft YaHei UI" w:eastAsia="Microsoft YaHei UI" w:hAnsi="Microsoft YaHei UI"/>
                <w:color w:val="152625"/>
                <w:sz w:val="20"/>
                <w:szCs w:val="20"/>
              </w:rPr>
              <w:t xml:space="preserve">该文涉及双环醇及利加隆的直接竞品追踪路径；应依据原文研究人群、终点与研究设计判断临床适用性，不把题名当作疗效结论。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2026-08-28</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标准剂量与增强剂量乙酰半胱氨酸治疗“重度”对乙酰氨基酚过量的临床结局。</w:t>
            </w:r>
          </w:p>
          <w:p>
            <w:pPr>
              <w:spacing w:after="0" w:before="0" w:line="320"/>
            </w:pPr>
            <w:r>
              <w:rPr>
                <w:rFonts w:ascii="Microsoft YaHei UI" w:cs="Microsoft YaHei UI" w:eastAsia="Microsoft YaHei UI" w:hAnsi="Microsoft YaHei UI"/>
                <w:color w:val="5F706E"/>
                <w:sz w:val="20"/>
                <w:szCs w:val="20"/>
              </w:rPr>
              <w:t xml:space="preserve">论文内容：方法：这是一项单中心回顾性队列研究，研究对象为2010年1月至2025年3月期间上报至某区域毒物控制中心的急性对乙酰氨基酚过量病例。在该毒物控制中心于2020年1月开始对重度对乙酰氨基酚过量采用增强剂量乙酰半胱氨酸给药方案的前后，分别对病例进行了回顾。接受标准剂量乙酰半胱氨酸给药的组作为对照组。若单个急性对乙酰氨基酚浓度点落在300、450或600 mcg/mL的列线图曲线之上，则病例被纳入研究。采用标准单变量统计分析描述队列特征，并使用多因素logistic模型计算肝毒性风险的比值比。结果：在174例纳入病例中，107例接受标准剂量乙酰半胱氨酸给药，67例接受增强剂量乙酰半胱氨酸给药。</w:t>
            </w:r>
          </w:p>
          <w:p>
            <w:pPr>
              <w:spacing w:after="0" w:before="80"/>
            </w:pPr>
            <w:hyperlink w:history="1" r:id="rIdpt5ligwm3ssxoolsy60e0">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直接竞品；乙酰半胱氨酸</w:t>
            </w:r>
          </w:p>
          <w:p>
            <w:pPr>
              <w:spacing w:after="0" w:before="0" w:line="320"/>
            </w:pPr>
            <w:r>
              <w:rPr>
                <w:rFonts w:ascii="Microsoft YaHei UI" w:cs="Microsoft YaHei UI" w:eastAsia="Microsoft YaHei UI" w:hAnsi="Microsoft YaHei UI"/>
                <w:color w:val="152625"/>
                <w:sz w:val="20"/>
                <w:szCs w:val="20"/>
              </w:rPr>
              <w:t xml:space="preserve">该文涉及乙酰半胱氨酸及利加隆的直接竞品追踪路径；应依据原文研究人群、终点与研究设计判断临床适用性，不把题名当作疗效结论。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2026-08-28</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Semaglutide在日本代谢功能障碍相关脂肪性肝炎受试者中的应用：ESSENCE试验的亚组分析。</w:t>
            </w:r>
          </w:p>
          <w:p>
            <w:pPr>
              <w:spacing w:after="0" w:before="0" w:line="320"/>
            </w:pPr>
            <w:r>
              <w:rPr>
                <w:rFonts w:ascii="Microsoft YaHei UI" w:cs="Microsoft YaHei UI" w:eastAsia="Microsoft YaHei UI" w:hAnsi="Microsoft YaHei UI"/>
                <w:color w:val="5F706E"/>
                <w:sz w:val="20"/>
                <w:szCs w:val="20"/>
              </w:rPr>
              <w:t xml:space="preserve">论文内容：背景：本亚组分析评估了ESSENCE（第1部分）试验中日本亚组与总体试验人群相比，semaglutide的有效性和安全性，并评估了基线特征的影响。方法：ESSENCE是一项正在开展的3期、多中心、随机、双盲、安慰剂对照试验，纳入1197例经活检确诊为代谢功能障碍相关脂肪性肝炎且肝纤维化分期为2或3期的受试者，按2:1比例随机分组，接受每周一次皮下注射semaglutide 2.4 mg或安慰剂，持续240周（NCT04822181）。本文报告了在第72周对首批800名随机分组受试者开展的有效性中期分析结果（第1部分）。</w:t>
            </w:r>
          </w:p>
          <w:p>
            <w:pPr>
              <w:spacing w:after="0" w:before="80"/>
            </w:pPr>
            <w:hyperlink w:history="1" r:id="rIdvqzz2eiw3gkaz7ntuo8j7">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潜在竞品；Ozempic/Wegovy 同类</w:t>
            </w:r>
          </w:p>
          <w:p>
            <w:pPr>
              <w:spacing w:after="0" w:before="0" w:line="320"/>
            </w:pPr>
            <w:r>
              <w:rPr>
                <w:rFonts w:ascii="Microsoft YaHei UI" w:cs="Microsoft YaHei UI" w:eastAsia="Microsoft YaHei UI" w:hAnsi="Microsoft YaHei UI"/>
                <w:color w:val="152625"/>
                <w:sz w:val="20"/>
                <w:szCs w:val="20"/>
              </w:rPr>
              <w:t xml:space="preserve">该文涉及司美格鲁肽及利加隆的潜在竞品追踪路径；应依据原文研究人群、终点与研究设计判断临床适用性，不把题名当作疗效结论。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2026-08-20</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Resmetirom在FAERS中的早期上市后安全性特征：他汀类药物联合报告的探索性评估。</w:t>
            </w:r>
          </w:p>
          <w:p>
            <w:pPr>
              <w:spacing w:after="0" w:before="0" w:line="320"/>
            </w:pPr>
            <w:r>
              <w:rPr>
                <w:rFonts w:ascii="Microsoft YaHei UI" w:cs="Microsoft YaHei UI" w:eastAsia="Microsoft YaHei UI" w:hAnsi="Microsoft YaHei UI"/>
                <w:color w:val="5F706E"/>
                <w:sz w:val="20"/>
                <w:szCs w:val="20"/>
              </w:rPr>
              <w:t xml:space="preserve">论文内容：背景：Resmetirom是美国首个获批用于成人非肝硬化性代谢功能障碍相关脂肪性肝炎（MASH）伴中重度肝纤维化的甲状腺激素受体β激动剂。血脂异常和心血管风险在MASH患者中常见，因此他汀类药物的联合使用具有临床相关性。目的：本研究旨在描述FDA不良事件报告系统（FAERS）中Resmetirom上市后早期的不良事件报告特征，并探讨Resmetirom与他汀类药物的联合报告情况。方法：对2024年第一季度至2026年第一季度经过清理和去重的FAERS报告进行分析。阳性首选术语（PT）信号需满足至少3份报告，且报告比值比、比例报告比和贝叶斯信息成分均为阳性。报告者类型敏感性分析仅纳入医疗专业人员（HCP）提交的报告。</w:t>
            </w:r>
          </w:p>
          <w:p>
            <w:pPr>
              <w:spacing w:after="0" w:before="80"/>
            </w:pPr>
            <w:hyperlink w:history="1" r:id="rIdfnu-yzma9rjr_b2sj0egg">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潜在竞品；Rezdiffra</w:t>
            </w:r>
          </w:p>
          <w:p>
            <w:pPr>
              <w:spacing w:after="0" w:before="0" w:line="320"/>
            </w:pPr>
            <w:r>
              <w:rPr>
                <w:rFonts w:ascii="Microsoft YaHei UI" w:cs="Microsoft YaHei UI" w:eastAsia="Microsoft YaHei UI" w:hAnsi="Microsoft YaHei UI"/>
                <w:color w:val="152625"/>
                <w:sz w:val="20"/>
                <w:szCs w:val="20"/>
              </w:rPr>
              <w:t xml:space="preserve">该文涉及瑞司美替罗及利加隆的潜在竞品追踪路径；应依据原文研究人群、终点与研究设计判断临床适用性，不把题名当作疗效结论。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2026-08-18</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Resmetirom与司美格鲁肽在MASLD/MASH中的治疗机制：炎症及纤维化代谢物综述。</w:t>
            </w:r>
          </w:p>
          <w:p>
            <w:pPr>
              <w:spacing w:after="0" w:before="0" w:line="320"/>
            </w:pPr>
            <w:r>
              <w:rPr>
                <w:rFonts w:ascii="Microsoft YaHei UI" w:cs="Microsoft YaHei UI" w:eastAsia="Microsoft YaHei UI" w:hAnsi="Microsoft YaHei UI"/>
                <w:color w:val="5F706E"/>
                <w:sz w:val="20"/>
                <w:szCs w:val="20"/>
              </w:rPr>
              <w:t xml:space="preserve">论文内容：代谢功能障碍相关脂肪性肝病（MASLD）是慢性肝病的主要病因，其进展性炎症表型——代谢功能障碍相关脂肪性肝炎（MASH）以肝细胞损伤、炎症及纤维化为特征。这些过程与代谢物网络的改变密切相关，涉及脂毒性脂质、氧化脂质介质、胆汁酸、氨基酸、酰基肉碱、氧化还原相关代谢物、肠道来源代谢物及细胞外基质重塑产物。近期获批用于治疗伴中度至重度纤维化MASH的Resmetirom与司美格鲁肽，为解析上述代谢物网络提供了两种互补模型。Resmetirom是一种肝脏靶向的甲状腺激素受体β激动剂，主要作用为增强肝内脂质处理、线粒体脂肪酸代谢、胆固醇周转及脂蛋白重塑。</w:t>
            </w:r>
          </w:p>
          <w:p>
            <w:pPr>
              <w:spacing w:after="0" w:before="80"/>
            </w:pPr>
            <w:hyperlink w:history="1" r:id="rIdwd92pzsf1fqrhylfpdb_1">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潜在竞品；Ozempic/Wegovy 同类</w:t>
            </w:r>
          </w:p>
          <w:p>
            <w:pPr>
              <w:spacing w:after="0" w:before="0" w:line="320"/>
            </w:pPr>
            <w:r>
              <w:rPr>
                <w:rFonts w:ascii="Microsoft YaHei UI" w:cs="Microsoft YaHei UI" w:eastAsia="Microsoft YaHei UI" w:hAnsi="Microsoft YaHei UI"/>
                <w:color w:val="152625"/>
                <w:sz w:val="20"/>
                <w:szCs w:val="20"/>
              </w:rPr>
              <w:t xml:space="preserve">该文涉及司美格鲁肽及利加隆的潜在竞品追踪路径；应依据原文研究人群、终点与研究设计判断临床适用性，不把题名当作疗效结论。</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2026-08-12</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瑞美鲁托用于合并肝纤维化的非肝硬化代谢相关脂肪性肝炎：在中国、英国、法国和德国制定基于价值的价格。</w:t>
            </w:r>
          </w:p>
          <w:p>
            <w:pPr>
              <w:spacing w:after="0" w:before="0" w:line="320"/>
            </w:pPr>
            <w:r>
              <w:rPr>
                <w:rFonts w:ascii="Microsoft YaHei UI" w:cs="Microsoft YaHei UI" w:eastAsia="Microsoft YaHei UI" w:hAnsi="Microsoft YaHei UI"/>
                <w:color w:val="5F706E"/>
                <w:sz w:val="20"/>
                <w:szCs w:val="20"/>
              </w:rPr>
              <w:t xml:space="preserve">论文内容：背景：瑞美鲁托是首个获批用于成人非肝硬化代谢相关脂肪性肝炎（MASH）伴中重度纤维化（F2-F3）的药物治疗方案。本研究从医疗支付方视角估算其在中国、英国、法国和德国的基于价值的年度价格。研究设计与方法：我们为接受标准治疗（SoC）或瑞美鲁托联合SoC的符合条件的F2-F3期患者构建了年度循环马尔可夫模型，并应用了各国专属的流行病学数据、成本数据及支付意愿（WTP）阈值。基于价值的定价（VBP）定义为增量成本效果比（ICER）等于各国每质量调整生命年（QALY）专属WTP阈值时的年度价格。分析内容包括按当前美国价格计算的ICER及概率敏感性分析。结果：瑞美鲁托在中国、英国、法国和德国分别延长生命年（LYs）0.30、0.</w:t>
            </w:r>
          </w:p>
          <w:p>
            <w:pPr>
              <w:spacing w:after="0" w:before="80"/>
            </w:pPr>
            <w:hyperlink w:history="1" r:id="rIdfzqf6tk5eucdyfilu3xm8">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潜在竞品；Rezdiffra</w:t>
            </w:r>
          </w:p>
          <w:p>
            <w:pPr>
              <w:spacing w:after="0" w:before="0" w:line="320"/>
            </w:pPr>
            <w:r>
              <w:rPr>
                <w:rFonts w:ascii="Microsoft YaHei UI" w:cs="Microsoft YaHei UI" w:eastAsia="Microsoft YaHei UI" w:hAnsi="Microsoft YaHei UI"/>
                <w:color w:val="152625"/>
                <w:sz w:val="20"/>
                <w:szCs w:val="20"/>
              </w:rPr>
              <w:t xml:space="preserve">该文涉及瑞司美替罗及利加隆的潜在竞品追踪路径；应依据原文研究人群、终点与研究设计判断临床适用性，不把题名当作疗效结论。</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2026-08-11</w:t>
            </w:r>
          </w:p>
          <w:p>
            <w:pPr>
              <w:spacing w:after="60" w:before="0" w:line="340"/>
            </w:pPr>
            <w:r>
              <w:rPr>
                <w:rFonts w:ascii="Microsoft YaHei UI" w:cs="Microsoft YaHei UI" w:eastAsia="Microsoft YaHei UI" w:hAnsi="Microsoft YaHei UI"/>
                <w:color w:val="5F706E"/>
                <w:sz w:val="22"/>
                <w:szCs w:val="22"/>
              </w:rPr>
              <w:t xml:space="preserve">PubMed</w:t>
            </w:r>
          </w:p>
          <w:p>
            <w:pPr>
              <w:spacing w:after="0" w:before="0" w:line="340"/>
            </w:pPr>
            <w:r>
              <w:rPr>
                <w:rFonts w:ascii="Microsoft YaHei UI" w:cs="Microsoft YaHei UI" w:eastAsia="Microsoft YaHei UI" w:hAnsi="Microsoft YaHei UI"/>
                <w:color w:val="9A5D15"/>
                <w:sz w:val="18"/>
                <w:szCs w:val="18"/>
              </w:rPr>
              <w:t xml:space="preserve">中证据 / 视情况</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奥贝胆酸作为代谢功能障碍相关脂肪性肝炎研究中的法尼醇X受体标志性骨架：用于疗效-风险分离与生物标志物解读的可验证模型。</w:t>
            </w:r>
          </w:p>
          <w:p>
            <w:pPr>
              <w:spacing w:after="0" w:before="0" w:line="320"/>
            </w:pPr>
            <w:r>
              <w:rPr>
                <w:rFonts w:ascii="Microsoft YaHei UI" w:cs="Microsoft YaHei UI" w:eastAsia="Microsoft YaHei UI" w:hAnsi="Microsoft YaHei UI"/>
                <w:color w:val="5F706E"/>
                <w:sz w:val="20"/>
                <w:szCs w:val="20"/>
              </w:rPr>
              <w:t xml:space="preserve">论文内容：奥贝胆酸（OCA）未获批准用于代谢功能障碍相关脂肪性肝炎（MASH），其用于肝硬化前非酒精性脂肪性肝炎（NASH）的美国开发路径已因监管未获批而终止。该化合物在科学层面仍具研究价值，因为目前尚无其他法尼醇X受体（FXR）激动剂能在脂肪性肝炎人群中产出可与之比拟的数据集。当前常见的解读误区是将组织学获益、低密度脂蛋白胆固醇（LDL-C）升高、瘙痒及潜在的肝脏固有损伤笼统归为单一的FXR激活连续效应。这篇基于假设的论述性文章主张采用更精准的解读框架。本研究将OCA作为标志性研究骨架，将临床应答、全身脂质风险、耐受性及潜在的肝脏固有固醇应激生物学效应划分为相互独立的证据层级。</w:t>
            </w:r>
          </w:p>
          <w:p>
            <w:pPr>
              <w:spacing w:after="0" w:before="80"/>
            </w:pPr>
            <w:hyperlink w:history="1" r:id="rId3v79jtgia1cnpvobv2yb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潜在竞品；Ocaliva</w:t>
            </w:r>
          </w:p>
          <w:p>
            <w:pPr>
              <w:spacing w:after="0" w:before="0" w:line="320"/>
            </w:pPr>
            <w:r>
              <w:rPr>
                <w:rFonts w:ascii="Microsoft YaHei UI" w:cs="Microsoft YaHei UI" w:eastAsia="Microsoft YaHei UI" w:hAnsi="Microsoft YaHei UI"/>
                <w:color w:val="152625"/>
                <w:sz w:val="20"/>
                <w:szCs w:val="20"/>
              </w:rPr>
              <w:t xml:space="preserve">该文涉及奥贝胆酸及利加隆的潜在竞品追踪路径；应依据原文研究人群、终点与研究设计判断临床适用性，不把题名当作疗效结论。</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2026-08-13</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尤红｜首都医科大学附属北京友谊医院</w:t>
            </w:r>
          </w:p>
          <w:p>
            <w:pPr>
              <w:spacing w:after="70" w:before="0" w:line="340"/>
            </w:pPr>
            <w:r>
              <w:rPr>
                <w:rFonts w:ascii="Microsoft YaHei UI" w:cs="Microsoft YaHei UI" w:eastAsia="Microsoft YaHei UI" w:hAnsi="Microsoft YaHei UI"/>
                <w:b/>
                <w:bCs/>
                <w:color w:val="152625"/>
                <w:sz w:val="22"/>
                <w:szCs w:val="22"/>
              </w:rPr>
              <w:t xml:space="preserve">慢性肝病中控制前体耗尽 CD8+ T 细胞的细胞和分子网络：对免疫治疗的影响。</w:t>
            </w:r>
          </w:p>
          <w:p>
            <w:pPr>
              <w:spacing w:after="0" w:before="0" w:line="320"/>
            </w:pPr>
            <w:r>
              <w:rPr>
                <w:rFonts w:ascii="Microsoft YaHei UI" w:cs="Microsoft YaHei UI" w:eastAsia="Microsoft YaHei UI" w:hAnsi="Microsoft YaHei UI"/>
                <w:color w:val="5F706E"/>
                <w:sz w:val="20"/>
                <w:szCs w:val="20"/>
              </w:rPr>
              <w:t xml:space="preserve">研究主题：慢性肝病中控制前体耗尽 CD8+ T 细胞的细胞和分子网络：对免疫治疗的影响。。摘要要点：多种病因的慢性肝病以及原发性肝癌是全球主要的健康负担，但治疗选择有限。CD8+ T 细胞耗竭是这些病理环境中有效免疫控制的主要障碍。然而，前体耗尽的 CD8+ T 细胞 (Tpex) 是一种具有自我更新和增殖潜力的干细胞亚群，保留了产生效应子样后代和维持长期免疫监视的能力。在这篇综述中，我们首先提供了 Tpex 的定义，以将其与慢性肝病和肝癌中其他相关的 CD8+ T 细胞状态区分开来，包括终末耗竭、效应器样耗竭、组织驻留记忆和常规记忆 T 细胞。然后，我们总结了 Tpex 在良性和恶性肝病中的基础生物学、病因学动力学和治疗相关性的最新知识。</w:t>
            </w:r>
          </w:p>
          <w:p>
            <w:pPr>
              <w:spacing w:after="0" w:before="80"/>
            </w:pPr>
            <w:hyperlink w:history="1" r:id="rIdf9uigncrczfblsyglugmr">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司美格鲁肽 / semaglutide / C187H291N45O59（7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熊去氧胆酸 / ursodeoxycholic acid / C24H40O4（6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瑞司美替罗 / resmetirom / C17H12Cl2N6O4（3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乙酰半胱氨酸 / acetylcysteine / C5H9NO3S（2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奥贝胆酸 / obeticholic acid / C26H44O4（2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复方甘草酸苷 / glycyrrhizin / 代表成分甘草酸 C42H62O16；复方制剂需按说明书确认（1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双环醇 / bicyclol / C19H18O9（1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区分药物性肝损伤、病毒性肝炎和代谢性肝病证据</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跟踪抗纤维化及 GLP-1 相关肝脏终点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更新利加隆与直接、间接竞品的证据对照</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利加隆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hwwa0zqhdmme4uo0qra1" Type="http://schemas.openxmlformats.org/officeDocument/2006/relationships/hyperlink" Target="https://pubmed.ncbi.nlm.nih.gov/42639177/" TargetMode="External"/><Relationship Id="rIdvetpirjzfydklfc11ifl3" Type="http://schemas.openxmlformats.org/officeDocument/2006/relationships/hyperlink" Target="https://pubmed.ncbi.nlm.nih.gov/42698751/" TargetMode="External"/><Relationship Id="rIdpt5ligwm3ssxoolsy60e0" Type="http://schemas.openxmlformats.org/officeDocument/2006/relationships/hyperlink" Target="https://pubmed.ncbi.nlm.nih.gov/42663261/" TargetMode="External"/><Relationship Id="rIdvqzz2eiw3gkaz7ntuo8j7" Type="http://schemas.openxmlformats.org/officeDocument/2006/relationships/hyperlink" Target="https://pubmed.ncbi.nlm.nih.gov/42663669/" TargetMode="External"/><Relationship Id="rIdfnu-yzma9rjr_b2sj0egg" Type="http://schemas.openxmlformats.org/officeDocument/2006/relationships/hyperlink" Target="https://pubmed.ncbi.nlm.nih.gov/42694066/" TargetMode="External"/><Relationship Id="rIdwd92pzsf1fqrhylfpdb_1" Type="http://schemas.openxmlformats.org/officeDocument/2006/relationships/hyperlink" Target="https://pubmed.ncbi.nlm.nih.gov/42646322/" TargetMode="External"/><Relationship Id="rIdfzqf6tk5eucdyfilu3xm8" Type="http://schemas.openxmlformats.org/officeDocument/2006/relationships/hyperlink" Target="https://pubmed.ncbi.nlm.nih.gov/42583926/" TargetMode="External"/><Relationship Id="rId3v79jtgia1cnpvobv2yba" Type="http://schemas.openxmlformats.org/officeDocument/2006/relationships/hyperlink" Target="https://pubmed.ncbi.nlm.nih.gov/42643712/" TargetMode="External"/><Relationship Id="rIdf9uigncrczfblsyglugmr" Type="http://schemas.openxmlformats.org/officeDocument/2006/relationships/hyperlink" Target="https://pubmed.ncbi.nlm.nih.gov/42594835/"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2026年8月利加隆关注报告</dc:title>
  <dc:creator>Codex</dc:creator>
  <cp:lastModifiedBy>Un-named</cp:lastModifiedBy>
  <cp:revision>1</cp:revision>
  <dcterms:created xsi:type="dcterms:W3CDTF">2026-09-28T09:09:20.591Z</dcterms:created>
  <dcterms:modified xsi:type="dcterms:W3CDTF">2026-09-28T09:09:20.591Z</dcterms:modified>
</cp:coreProperties>
</file>

<file path=docProps/custom.xml><?xml version="1.0" encoding="utf-8"?>
<Properties xmlns="http://schemas.openxmlformats.org/officeDocument/2006/custom-properties" xmlns:vt="http://schemas.openxmlformats.org/officeDocument/2006/docPropsVTypes"/>
</file>