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可多华｜2026年6月关注报告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spacing w:before="200" w:after="120"/>
      </w:pPr>
      <w:r>
        <w:rPr>
          <w:rFonts w:ascii="Microsoft YaHei" w:hAnsi="Microsoft YaHei" w:eastAsia="微软雅黑"/>
          <w:b/>
          <w:color w:val="0F766D"/>
          <w:sz w:val="28"/>
        </w:rPr>
        <w:t>管理层摘要</w:t>
      </w:r>
    </w:p>
    <w:p>
      <w:pPr>
        <w:spacing w:after="100" w:line="300" w:lineRule="auto"/>
      </w:pPr>
      <w:r>
        <w:rPr>
          <w:rFonts w:ascii="Microsoft YaHei" w:hAnsi="Microsoft YaHei" w:eastAsia="微软雅黑"/>
          <w:b/>
          <w:color w:val="173B3A"/>
          <w:sz w:val="23"/>
        </w:rPr>
        <w:t>6月可多华的核心信号是：BPH/LUTS竞争主要来自坦索罗辛、他达拉非和5α还原酶抑制剂，可多华需要关注α受体阻滞剂一线替代与长期疾病管理方案。</w:t>
      </w:r>
    </w:p>
    <w:p>
      <w:pPr>
        <w:spacing w:after="60" w:line="293" w:lineRule="auto"/>
        <w:ind w:left="160"/>
      </w:pPr>
      <w:r>
        <w:rPr>
          <w:rFonts w:ascii="Microsoft YaHei" w:hAnsi="Microsoft YaHei" w:eastAsia="微软雅黑"/>
          <w:b w:val="0"/>
          <w:color w:val="253638"/>
          <w:sz w:val="21"/>
        </w:rPr>
        <w:t>发生了什么：本月纳入25条产品/竞品进展，12条建议跟进、5条高证据；高证据主要来自坦索罗辛、他达拉非和度他雄胺相关临床或论文更新。</w:t>
      </w:r>
    </w:p>
    <w:p>
      <w:pPr>
        <w:spacing w:after="60" w:line="293" w:lineRule="auto"/>
        <w:ind w:left="160"/>
      </w:pPr>
      <w:r>
        <w:rPr>
          <w:rFonts w:ascii="Microsoft YaHei" w:hAnsi="Microsoft YaHei" w:eastAsia="微软雅黑"/>
          <w:b w:val="0"/>
          <w:color w:val="253638"/>
          <w:sz w:val="21"/>
        </w:rPr>
        <w:t>关注什么：优先看哈乐/坦索罗辛在急性尿潴留和BPH场景的研究、希爱力每日剂量在LUTS场景的证据、度他雄胺长期疾病进展管理。</w:t>
      </w:r>
    </w:p>
    <w:p>
      <w:pPr>
        <w:spacing w:after="60" w:line="293" w:lineRule="auto"/>
        <w:ind w:left="160"/>
      </w:pPr>
      <w:r>
        <w:rPr>
          <w:rFonts w:ascii="Microsoft YaHei" w:hAnsi="Microsoft YaHei" w:eastAsia="微软雅黑"/>
          <w:b w:val="0"/>
          <w:color w:val="253638"/>
          <w:sz w:val="21"/>
        </w:rPr>
        <w:t>为什么关注：这些竞品覆盖症状快速改善、性功能相关获益和前列腺体积/进展管理，可能分流可多华在BPH患者中的用药场景。</w:t>
      </w:r>
    </w:p>
    <w:p>
      <w:pPr>
        <w:spacing w:after="60" w:line="293" w:lineRule="auto"/>
        <w:ind w:left="160"/>
      </w:pPr>
      <w:r>
        <w:rPr>
          <w:rFonts w:ascii="Microsoft YaHei" w:hAnsi="Microsoft YaHei" w:eastAsia="微软雅黑"/>
          <w:b w:val="0"/>
          <w:color w:val="253638"/>
          <w:sz w:val="21"/>
        </w:rPr>
        <w:t>建议动作：整理可多华与坦索罗辛、他达拉非、度他雄胺的患者分层差异；优先核对高证据研究终点；形成BPH场景下的竞品话术和风险点。</w:t>
      </w:r>
    </w:p>
    <w:p>
      <w:pPr>
        <w:spacing w:after="40"/>
      </w:pP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25</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12</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5</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6</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4</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4</w:t>
            </w:r>
          </w:p>
        </w:tc>
      </w:tr>
    </w:tbl>
    <w:p>
      <w:pPr>
        <w:pStyle w:val="Heading1"/>
      </w:pPr>
      <w:r>
        <w:t>二、本月结论</w:t>
      </w:r>
    </w:p>
    <w:p>
      <w:pPr>
        <w:pStyle w:val="ListBullet"/>
      </w:pPr>
      <w:r>
        <w:rPr>
          <w:rFonts w:ascii="Microsoft YaHei" w:hAnsi="Microsoft YaHei" w:eastAsia="微软雅黑"/>
          <w:sz w:val="21"/>
        </w:rPr>
        <w:t>6月共纳入 25 条产品/竞品研究进展，其中 12 条建议跟进，5 条为高证据。</w:t>
      </w:r>
    </w:p>
    <w:p>
      <w:pPr>
        <w:pStyle w:val="ListBullet"/>
      </w:pPr>
      <w:r>
        <w:rPr>
          <w:rFonts w:ascii="Microsoft YaHei" w:hAnsi="Microsoft YaHei" w:eastAsia="微软雅黑"/>
          <w:sz w:val="21"/>
        </w:rPr>
        <w:t>产品进展主要来源于：PubMed 14条；Clinical 11条。</w:t>
      </w:r>
    </w:p>
    <w:p>
      <w:pPr>
        <w:pStyle w:val="ListBullet"/>
      </w:pPr>
      <w:r>
        <w:rPr>
          <w:rFonts w:ascii="Microsoft YaHei" w:hAnsi="Microsoft YaHei" w:eastAsia="微软雅黑"/>
          <w:sz w:val="21"/>
        </w:rPr>
        <w:t>本月关注口径集中在：直接竞品；哈乐/Flomax；直接竞品；脉宁平；机制竞品；保法止/Proscar；机制竞品；安福达/Avodart。</w:t>
      </w:r>
    </w:p>
    <w:p>
      <w:pPr>
        <w:pStyle w:val="ListBullet"/>
      </w:pPr>
      <w:r>
        <w:rPr>
          <w:rFonts w:ascii="Microsoft YaHei" w:hAnsi="Microsoft YaHei" w:eastAsia="微软雅黑"/>
          <w:sz w:val="21"/>
        </w:rPr>
        <w:t>KOL/专家侧共 6 条记录，涉及 4 位专家、4 家机构；来源构成为：PubMed 5条；微信公众号 1条。</w:t>
      </w:r>
    </w:p>
    <w:p>
      <w:pPr>
        <w:pStyle w:val="ListBullet"/>
      </w:pPr>
      <w:r>
        <w:rPr>
          <w:rFonts w:ascii="Microsoft YaHei" w:hAnsi="Microsoft YaHei" w:eastAsia="微软雅黑"/>
          <w:sz w:val="21"/>
        </w:rPr>
        <w:t>涉及分子/靶点高频出现：Doxazosin mesylate / C24H29N5O8S；盐酸坦索罗辛 / tamsulosin hydrochloride / C20H29ClN2O5S；盐酸哌唑嗪 / prazosin hydrochloride / C19H22ClN5O4；非那雄胺 / finasteride / C23H36N2O2；度他雄胺 / dutasteride / C27H30F6N2O2；他达拉非 / tadalafil / C22H19N3O4。</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直接竞品；哈乐/Flomax</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盐酸坦索罗辛相关 ClinicalTrials.gov 临床研究更新（NCT07654413）</w:t>
            </w:r>
          </w:p>
        </w:tc>
        <w:tc>
          <w:tcPr>
            <w:tcW w:type="dxa" w:w="3096"/>
            <w:vAlign w:val="top"/>
          </w:tcPr>
          <w:p>
            <w:pPr>
              <w:spacing w:after="0"/>
            </w:pPr>
            <w:r/>
            <w:r>
              <w:rPr>
                <w:rFonts w:ascii="Microsoft YaHei" w:hAnsi="Microsoft YaHei" w:eastAsia="微软雅黑"/>
                <w:b w:val="0"/>
                <w:sz w:val="18"/>
              </w:rPr>
              <w:t>ClinicalTrials.gov 研究：Tamsulosin With or Without Tadalafil for Trial Without Catheter After Acute Urinary Retention Due to Benign Prostatic Hyperplasi（详见网站明细）</w:t>
            </w:r>
          </w:p>
        </w:tc>
        <w:tc>
          <w:tcPr>
            <w:tcW w:type="dxa" w:w="2160"/>
            <w:vAlign w:val="top"/>
          </w:tcPr>
          <w:p>
            <w:pPr>
              <w:spacing w:after="0"/>
            </w:pPr>
            <w:r/>
            <w:r>
              <w:rPr>
                <w:rFonts w:ascii="Microsoft YaHei" w:hAnsi="Microsoft YaHei" w:eastAsia="微软雅黑"/>
                <w:b w:val="0"/>
                <w:sz w:val="18"/>
              </w:rPr>
              <w:t>BPH 一线替代；建议查看研究设计、入排标准和终点，判断对可多华或同机制竞品监测的影响。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2026-06-16</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直接竞品；哈乐/Flomax</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盐酸坦索罗辛相关 ClinicalTrials.gov 临床研究更新（NCT07650968）</w:t>
            </w:r>
          </w:p>
        </w:tc>
        <w:tc>
          <w:tcPr>
            <w:tcW w:type="dxa" w:w="3096"/>
            <w:vAlign w:val="top"/>
          </w:tcPr>
          <w:p>
            <w:pPr>
              <w:spacing w:after="0"/>
            </w:pPr>
            <w:r/>
            <w:r>
              <w:rPr>
                <w:rFonts w:ascii="Microsoft YaHei" w:hAnsi="Microsoft YaHei" w:eastAsia="微软雅黑"/>
                <w:b w:val="0"/>
                <w:sz w:val="18"/>
              </w:rPr>
              <w:t>ClinicalTrials.gov 研究：Tamsulosin Dose Escalation or Silodosin Switch Before Trial Without Catheter in BPH-Related Acute Urinary Retention；（详见网站明细）</w:t>
            </w:r>
          </w:p>
        </w:tc>
        <w:tc>
          <w:tcPr>
            <w:tcW w:type="dxa" w:w="2160"/>
            <w:vAlign w:val="top"/>
          </w:tcPr>
          <w:p>
            <w:pPr>
              <w:spacing w:after="0"/>
            </w:pPr>
            <w:r/>
            <w:r>
              <w:rPr>
                <w:rFonts w:ascii="Microsoft YaHei" w:hAnsi="Microsoft YaHei" w:eastAsia="微软雅黑"/>
                <w:b w:val="0"/>
                <w:sz w:val="18"/>
              </w:rPr>
              <w:t>BPH 一线替代；建议查看研究设计、入排标准和终点，判断对可多华或同机制竞品监测的影响。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机制竞品；希爱力每日剂量</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他达拉非相关 ClinicalTrials.gov 临床研究更新（NCT07636161）</w:t>
            </w:r>
          </w:p>
        </w:tc>
        <w:tc>
          <w:tcPr>
            <w:tcW w:type="dxa" w:w="3096"/>
            <w:vAlign w:val="top"/>
          </w:tcPr>
          <w:p>
            <w:pPr>
              <w:spacing w:after="0"/>
            </w:pPr>
            <w:r/>
            <w:r>
              <w:rPr>
                <w:rFonts w:ascii="Microsoft YaHei" w:hAnsi="Microsoft YaHei" w:eastAsia="微软雅黑"/>
                <w:b w:val="0"/>
                <w:sz w:val="18"/>
              </w:rPr>
              <w:t>ClinicalTrials.gov 研究：PLEASURE (Pleasing Lovers, Efficacy, Arousal, Satisfaction, and Uptake Research on Eroxon)；NCT：NCT07636161；（详见网站明细）</w:t>
            </w:r>
          </w:p>
        </w:tc>
        <w:tc>
          <w:tcPr>
            <w:tcW w:type="dxa" w:w="2160"/>
            <w:vAlign w:val="top"/>
          </w:tcPr>
          <w:p>
            <w:pPr>
              <w:spacing w:after="0"/>
            </w:pPr>
            <w:r/>
            <w:r>
              <w:rPr>
                <w:rFonts w:ascii="Microsoft YaHei" w:hAnsi="Microsoft YaHei" w:eastAsia="微软雅黑"/>
                <w:b w:val="0"/>
                <w:sz w:val="18"/>
              </w:rPr>
              <w:t>BPH/LUTS 适应症替代；建议查看研究设计、入排标准和终点，判断对可多华或同机制竞品监测的影响。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2026-06-08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直接竞品；哈乐/Flomax</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盐酸坦索罗辛相关 ClinicalTrials.gov 临床研究更新（NCT07310797）</w:t>
            </w:r>
          </w:p>
        </w:tc>
        <w:tc>
          <w:tcPr>
            <w:tcW w:type="dxa" w:w="3096"/>
            <w:vAlign w:val="top"/>
          </w:tcPr>
          <w:p>
            <w:pPr>
              <w:spacing w:after="0"/>
            </w:pPr>
            <w:r/>
            <w:r>
              <w:rPr>
                <w:rFonts w:ascii="Microsoft YaHei" w:hAnsi="Microsoft YaHei" w:eastAsia="微软雅黑"/>
                <w:b w:val="0"/>
                <w:sz w:val="18"/>
              </w:rPr>
              <w:t>ClinicalTrials.gov 研究：Comparison of Mirabegron and Tamsulosin for Ureteral Stone Expulsion；NCT：NCT07310797；状态：RECRUITING；阶段：PHASE4；（详见网站明细）</w:t>
            </w:r>
          </w:p>
        </w:tc>
        <w:tc>
          <w:tcPr>
            <w:tcW w:type="dxa" w:w="2160"/>
            <w:vAlign w:val="top"/>
          </w:tcPr>
          <w:p>
            <w:pPr>
              <w:spacing w:after="0"/>
            </w:pPr>
            <w:r/>
            <w:r>
              <w:rPr>
                <w:rFonts w:ascii="Microsoft YaHei" w:hAnsi="Microsoft YaHei" w:eastAsia="微软雅黑"/>
                <w:b w:val="0"/>
                <w:sz w:val="18"/>
              </w:rPr>
              <w:t>BPH 一线替代；建议查看研究设计、入排标准和终点，判断对可多华或同机制竞品监测的影响。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机制竞品；安福达/Avodart</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度他雄胺相关 PubMed 论文发布（PMID 41821360）</w:t>
            </w:r>
          </w:p>
        </w:tc>
        <w:tc>
          <w:tcPr>
            <w:tcW w:type="dxa" w:w="3096"/>
            <w:vAlign w:val="top"/>
          </w:tcPr>
          <w:p>
            <w:pPr>
              <w:spacing w:after="0"/>
            </w:pPr>
            <w:r/>
            <w:r>
              <w:rPr>
                <w:rFonts w:ascii="Microsoft YaHei" w:hAnsi="Microsoft YaHei" w:eastAsia="微软雅黑"/>
                <w:b w:val="0"/>
                <w:sz w:val="18"/>
              </w:rPr>
              <w:t>临床研究：安福达/Avodart（机制竞品）相关更新，聚焦“临床疗效和安全性”。对可多华的跟踪意义：BPH 长期疾病进展管理。优先阅读原文方法和结论，判断是否形成可引用证据。</w:t>
            </w:r>
          </w:p>
        </w:tc>
        <w:tc>
          <w:tcPr>
            <w:tcW w:type="dxa" w:w="2160"/>
            <w:vAlign w:val="top"/>
          </w:tcPr>
          <w:p>
            <w:pPr>
              <w:spacing w:after="0"/>
            </w:pPr>
            <w:r/>
            <w:r>
              <w:rPr>
                <w:rFonts w:ascii="Microsoft YaHei" w:hAnsi="Microsoft YaHei" w:eastAsia="微软雅黑"/>
                <w:b w:val="0"/>
                <w:sz w:val="18"/>
              </w:rPr>
              <w:t>BPH 长期疾病进展管理；建议评估该更新对可多华相关医学信息、竞品监测或风险沟通的影响。</w:t>
            </w:r>
          </w:p>
        </w:tc>
      </w:tr>
      <w:tr>
        <w:tc>
          <w:tcPr>
            <w:tcW w:type="dxa" w:w="1152"/>
            <w:vAlign w:val="top"/>
          </w:tcPr>
          <w:p>
            <w:pPr>
              <w:spacing w:after="0"/>
            </w:pPr>
            <w:r/>
            <w:r>
              <w:rPr>
                <w:rFonts w:ascii="Microsoft YaHei" w:hAnsi="Microsoft YaHei" w:eastAsia="微软雅黑"/>
                <w:b w:val="0"/>
                <w:sz w:val="18"/>
              </w:rPr>
              <w:t>2026-06-18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机制竞品；希爱力每日剂量</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他达拉非相关 ClinicalTrials.gov 临床研究更新（NCT04684589）</w:t>
            </w:r>
          </w:p>
        </w:tc>
        <w:tc>
          <w:tcPr>
            <w:tcW w:type="dxa" w:w="3096"/>
            <w:vAlign w:val="top"/>
          </w:tcPr>
          <w:p>
            <w:pPr>
              <w:spacing w:after="0"/>
            </w:pPr>
            <w:r/>
            <w:r>
              <w:rPr>
                <w:rFonts w:ascii="Microsoft YaHei" w:hAnsi="Microsoft YaHei" w:eastAsia="微软雅黑"/>
                <w:b w:val="0"/>
                <w:sz w:val="18"/>
              </w:rPr>
              <w:t>ClinicalTrials.gov 研究：Effect of PDE5 Inhibition on Adipose Metabolism in Humans；NCT：NCT04684589；状态：已完成；阶段：PHASE2；适应症/疾病：Obesity；首次发布：2020-12-24；（详见网站明细）</w:t>
            </w:r>
          </w:p>
        </w:tc>
        <w:tc>
          <w:tcPr>
            <w:tcW w:type="dxa" w:w="2160"/>
            <w:vAlign w:val="top"/>
          </w:tcPr>
          <w:p>
            <w:pPr>
              <w:spacing w:after="0"/>
            </w:pPr>
            <w:r/>
            <w:r>
              <w:rPr>
                <w:rFonts w:ascii="Microsoft YaHei" w:hAnsi="Microsoft YaHei" w:eastAsia="微软雅黑"/>
                <w:b w:val="0"/>
                <w:sz w:val="18"/>
              </w:rPr>
              <w:t>BPH/LUTS 适应症替代；建议查看研究设计、入排标准和终点，判断对可多华或同机制竞品监测的影响。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2026-06-15</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直接竞品；脉宁平</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盐酸哌唑嗪相关 ClinicalTrials.gov 临床研究更新（NCT00148837）</w:t>
            </w:r>
          </w:p>
        </w:tc>
        <w:tc>
          <w:tcPr>
            <w:tcW w:type="dxa" w:w="3096"/>
            <w:vAlign w:val="top"/>
          </w:tcPr>
          <w:p>
            <w:pPr>
              <w:spacing w:after="0"/>
            </w:pPr>
            <w:r/>
            <w:r>
              <w:rPr>
                <w:rFonts w:ascii="Microsoft YaHei" w:hAnsi="Microsoft YaHei" w:eastAsia="微软雅黑"/>
                <w:b w:val="0"/>
                <w:sz w:val="18"/>
              </w:rPr>
              <w:t>ClinicalTrials.gov 研究：Efficacy of Prazosin Versus Placebo Associated With Peg-interferon Alpha 2b and Ribavirin in Chronic Hepatitis C With Genotype 1（详见网站明细）</w:t>
            </w:r>
          </w:p>
        </w:tc>
        <w:tc>
          <w:tcPr>
            <w:tcW w:type="dxa" w:w="2160"/>
            <w:vAlign w:val="top"/>
          </w:tcPr>
          <w:p>
            <w:pPr>
              <w:spacing w:after="0"/>
            </w:pPr>
            <w:r/>
            <w:r>
              <w:rPr>
                <w:rFonts w:ascii="Microsoft YaHei" w:hAnsi="Microsoft YaHei" w:eastAsia="微软雅黑"/>
                <w:b w:val="0"/>
                <w:sz w:val="18"/>
              </w:rPr>
              <w:t>同机制替代；建议查看研究设计、入排标准和终点，判断对可多华或同机制竞品监测的影响。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2026-06-11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直接竞品；哈乐/Flomax</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盐酸坦索罗辛相关 ClinicalTrials.gov 临床研究更新（NCT03609580）</w:t>
            </w:r>
          </w:p>
        </w:tc>
        <w:tc>
          <w:tcPr>
            <w:tcW w:type="dxa" w:w="3096"/>
            <w:vAlign w:val="top"/>
          </w:tcPr>
          <w:p>
            <w:pPr>
              <w:spacing w:after="0"/>
            </w:pPr>
            <w:r/>
            <w:r>
              <w:rPr>
                <w:rFonts w:ascii="Microsoft YaHei" w:hAnsi="Microsoft YaHei" w:eastAsia="微软雅黑"/>
                <w:b w:val="0"/>
                <w:sz w:val="18"/>
              </w:rPr>
              <w:t>ClinicalTrials.gov 研究：Post-operative Urinary Retention (POUR) Following Thoracic Surgery；NCT：NCT03609580；状态：RECRUITING；阶段：PHASE1；PHASE2；（详见网站明细）</w:t>
            </w:r>
          </w:p>
        </w:tc>
        <w:tc>
          <w:tcPr>
            <w:tcW w:type="dxa" w:w="2160"/>
            <w:vAlign w:val="top"/>
          </w:tcPr>
          <w:p>
            <w:pPr>
              <w:spacing w:after="0"/>
            </w:pPr>
            <w:r/>
            <w:r>
              <w:rPr>
                <w:rFonts w:ascii="Microsoft YaHei" w:hAnsi="Microsoft YaHei" w:eastAsia="微软雅黑"/>
                <w:b w:val="0"/>
                <w:sz w:val="18"/>
              </w:rPr>
              <w:t>BPH 一线替代；建议查看研究设计、入排标准和终点，判断对可多华或同机制竞品监测的影响。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2026-06-08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机制竞品；希爱力每日剂量</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他达拉非相关 ClinicalTrials.gov 临床研究更新（NCT07479901）</w:t>
            </w:r>
          </w:p>
        </w:tc>
        <w:tc>
          <w:tcPr>
            <w:tcW w:type="dxa" w:w="3096"/>
            <w:vAlign w:val="top"/>
          </w:tcPr>
          <w:p>
            <w:pPr>
              <w:spacing w:after="0"/>
            </w:pPr>
            <w:r/>
            <w:r>
              <w:rPr>
                <w:rFonts w:ascii="Microsoft YaHei" w:hAnsi="Microsoft YaHei" w:eastAsia="微软雅黑"/>
                <w:b w:val="0"/>
                <w:sz w:val="18"/>
              </w:rPr>
              <w:t>ClinicalTrials.gov 研究：Investigation of the Effect of the Atherogenic Index on the Therapeutic Response to Tadalafil in Patients With Vascular Erectile（详见网站明细）</w:t>
            </w:r>
          </w:p>
        </w:tc>
        <w:tc>
          <w:tcPr>
            <w:tcW w:type="dxa" w:w="2160"/>
            <w:vAlign w:val="top"/>
          </w:tcPr>
          <w:p>
            <w:pPr>
              <w:spacing w:after="0"/>
            </w:pPr>
            <w:r/>
            <w:r>
              <w:rPr>
                <w:rFonts w:ascii="Microsoft YaHei" w:hAnsi="Microsoft YaHei" w:eastAsia="微软雅黑"/>
                <w:b w:val="0"/>
                <w:sz w:val="18"/>
              </w:rPr>
              <w:t>BPH/LUTS 适应症替代；建议查看研究设计、入排标准和终点，判断对可多华或同机制竞品监测的影响。</w:t>
            </w:r>
          </w:p>
        </w:tc>
      </w:tr>
      <w:tr>
        <w:tc>
          <w:tcPr>
            <w:tcW w:type="dxa" w:w="1152"/>
            <w:vAlign w:val="top"/>
          </w:tcPr>
          <w:p>
            <w:pPr>
              <w:spacing w:after="0"/>
            </w:pPr>
            <w:r/>
            <w:r>
              <w:rPr>
                <w:rFonts w:ascii="Microsoft YaHei" w:hAnsi="Microsoft YaHei" w:eastAsia="微软雅黑"/>
                <w:b w:val="0"/>
                <w:sz w:val="18"/>
              </w:rPr>
              <w:t>2026-06-03</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直接竞品；哈乐/Flomax</w:t>
            </w:r>
          </w:p>
        </w:tc>
        <w:tc>
          <w:tcPr>
            <w:tcW w:type="dxa" w:w="1224"/>
            <w:vAlign w:val="top"/>
          </w:tcPr>
          <w:p>
            <w:pPr>
              <w:spacing w:after="0"/>
            </w:pPr>
            <w:r/>
            <w:r>
              <w:rPr>
                <w:rFonts w:ascii="Microsoft YaHei" w:hAnsi="Microsoft YaHei" w:eastAsia="微软雅黑"/>
                <w:b w:val="0"/>
                <w:sz w:val="18"/>
              </w:rPr>
              <w:t>中 / 是</w:t>
            </w:r>
          </w:p>
        </w:tc>
        <w:tc>
          <w:tcPr>
            <w:tcW w:type="dxa" w:w="2448"/>
            <w:vAlign w:val="top"/>
          </w:tcPr>
          <w:p>
            <w:pPr>
              <w:spacing w:after="0"/>
            </w:pPr>
            <w:r/>
            <w:r>
              <w:rPr>
                <w:rFonts w:ascii="Microsoft YaHei" w:hAnsi="Microsoft YaHei" w:eastAsia="微软雅黑"/>
                <w:b w:val="0"/>
                <w:sz w:val="18"/>
              </w:rPr>
              <w:t>盐酸坦索罗辛相关 ClinicalTrials.gov 临床研究更新（NCT07623876）</w:t>
            </w:r>
          </w:p>
        </w:tc>
        <w:tc>
          <w:tcPr>
            <w:tcW w:type="dxa" w:w="3096"/>
            <w:vAlign w:val="top"/>
          </w:tcPr>
          <w:p>
            <w:pPr>
              <w:spacing w:after="0"/>
            </w:pPr>
            <w:r/>
            <w:r>
              <w:rPr>
                <w:rFonts w:ascii="Microsoft YaHei" w:hAnsi="Microsoft YaHei" w:eastAsia="微软雅黑"/>
                <w:b w:val="0"/>
                <w:sz w:val="18"/>
              </w:rPr>
              <w:t>ClinicalTrials.gov 研究：Tamsulosin and Intraureteral Aminophylline for Ureteral Access During RIRS；NCT：NCT07623876；状态：RECRUITING；阶段：PHASE2；（详见网站明细）</w:t>
            </w:r>
          </w:p>
        </w:tc>
        <w:tc>
          <w:tcPr>
            <w:tcW w:type="dxa" w:w="2160"/>
            <w:vAlign w:val="top"/>
          </w:tcPr>
          <w:p>
            <w:pPr>
              <w:spacing w:after="0"/>
            </w:pPr>
            <w:r/>
            <w:r>
              <w:rPr>
                <w:rFonts w:ascii="Microsoft YaHei" w:hAnsi="Microsoft YaHei" w:eastAsia="微软雅黑"/>
                <w:b w:val="0"/>
                <w:sz w:val="18"/>
              </w:rPr>
              <w:t>BPH 一线替代；建议查看研究设计、入排标准和终点，判断对可多华或同机制竞品监测的影响。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李恭会 / 浙江大学医学院附属邵逸夫医院</w:t>
            </w:r>
          </w:p>
        </w:tc>
        <w:tc>
          <w:tcPr>
            <w:tcW w:type="dxa" w:w="2592"/>
            <w:vAlign w:val="top"/>
          </w:tcPr>
          <w:p>
            <w:pPr>
              <w:spacing w:after="0"/>
            </w:pPr>
            <w:r/>
            <w:r>
              <w:rPr>
                <w:rFonts w:ascii="Microsoft YaHei" w:hAnsi="Microsoft YaHei" w:eastAsia="微软雅黑"/>
                <w:b w:val="0"/>
                <w:sz w:val="18"/>
              </w:rPr>
              <w:t>浙肿诊〔2026〕5号-关于成立浙江省肿瘤诊治质控中心前列腺癌专家委员会的通知</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专家相关内容：0 1 主任委员 许传亮 浙江省肿瘤医院 副主任委员 0 2 王平 浙江大学医学院附属第一医院 王宗平 浙江省肿瘤医院 江军 浙江大学医学院附属第二医院 祁小龙 浙江省人民医院 李恭会 浙江大学医学院附属邵逸夫医院 陈伟 温州医科大学附属第一医院 蒋军辉 宁波大学附属第一医院 0 3（详见网站明细）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李学松 / 北京大学第一医院</w:t>
            </w:r>
          </w:p>
        </w:tc>
        <w:tc>
          <w:tcPr>
            <w:tcW w:type="dxa" w:w="2592"/>
            <w:vAlign w:val="top"/>
          </w:tcPr>
          <w:p>
            <w:pPr>
              <w:spacing w:after="0"/>
            </w:pPr>
            <w:r/>
            <w:r>
              <w:rPr>
                <w:rFonts w:ascii="Microsoft YaHei" w:hAnsi="Microsoft YaHei" w:eastAsia="微软雅黑"/>
                <w:b w:val="0"/>
                <w:sz w:val="18"/>
              </w:rPr>
              <w:t>开放式、腹腔镜式和机器人辅助回肠输尿管置换术治疗长输尿管狭窄的比较：一项多机构双向队列研究。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研究主题：开放式、腹腔镜式和机器人辅助回肠输尿管置换术治疗长输尿管狭窄的比较：一项多机构双向队列研究。摘要要点：目的：比较开放式 (O-IUR)、腹腔镜 (L-IUR) 和机器人 (R-IUR) 方法的回肠输尿管置换术 (IUR) 的围手术期和随访结果。（详见网站明细）</w:t>
            </w:r>
          </w:p>
        </w:tc>
      </w:tr>
      <w:tr>
        <w:tc>
          <w:tcPr>
            <w:tcW w:type="dxa" w:w="1152"/>
            <w:vAlign w:val="top"/>
          </w:tcPr>
          <w:p>
            <w:pPr>
              <w:spacing w:after="0"/>
            </w:pPr>
            <w:r/>
            <w:r>
              <w:rPr>
                <w:rFonts w:ascii="Microsoft YaHei" w:hAnsi="Microsoft YaHei" w:eastAsia="微软雅黑"/>
                <w:b w:val="0"/>
                <w:sz w:val="18"/>
              </w:rPr>
              <w:t>2026-06-04</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李学松 / 北京大学第一医院</w:t>
            </w:r>
          </w:p>
        </w:tc>
        <w:tc>
          <w:tcPr>
            <w:tcW w:type="dxa" w:w="2592"/>
            <w:vAlign w:val="top"/>
          </w:tcPr>
          <w:p>
            <w:pPr>
              <w:spacing w:after="0"/>
            </w:pPr>
            <w:r/>
            <w:r>
              <w:rPr>
                <w:rFonts w:ascii="Microsoft YaHei" w:hAnsi="Microsoft YaHei" w:eastAsia="微软雅黑"/>
                <w:b w:val="0"/>
                <w:sz w:val="18"/>
              </w:rPr>
              <w:t>通过肿瘤 LCP1/ADPGK 的免疫组织化学分析预测检查点抑制剂免疫治疗期间泌尿系癌症的免疫相关不良事件。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研究主题：通过肿瘤 LCP1/ADPGK 的免疫组织化学分析预测检查点抑制剂免疫治疗期间泌尿系癌症的免疫相关不良事件。摘要要点：免疫检查点抑制剂（ICIs）彻底改变了泌尿系统癌症的治疗。但免疫相关不良事件 (irAE)，尤其是高级别 irAE，是这组患者生存和预后的重要危险因素。（详见网站明细）</w:t>
            </w:r>
          </w:p>
        </w:tc>
      </w:tr>
      <w:tr>
        <w:tc>
          <w:tcPr>
            <w:tcW w:type="dxa" w:w="1152"/>
            <w:vAlign w:val="top"/>
          </w:tcPr>
          <w:p>
            <w:pPr>
              <w:spacing w:after="0"/>
            </w:pPr>
            <w:r/>
            <w:r>
              <w:rPr>
                <w:rFonts w:ascii="Microsoft YaHei" w:hAnsi="Microsoft YaHei" w:eastAsia="微软雅黑"/>
                <w:b w:val="0"/>
                <w:sz w:val="18"/>
              </w:rPr>
              <w:t>2026-06-04</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秦卫军 / 空军军医大学西京医院</w:t>
            </w:r>
          </w:p>
        </w:tc>
        <w:tc>
          <w:tcPr>
            <w:tcW w:type="dxa" w:w="2592"/>
            <w:vAlign w:val="top"/>
          </w:tcPr>
          <w:p>
            <w:pPr>
              <w:spacing w:after="0"/>
            </w:pPr>
            <w:r/>
            <w:r>
              <w:rPr>
                <w:rFonts w:ascii="Microsoft YaHei" w:hAnsi="Microsoft YaHei" w:eastAsia="微软雅黑"/>
                <w:b w:val="0"/>
                <w:sz w:val="18"/>
              </w:rPr>
              <w:t>胆固醇介导的代谢-机械传导串扰协调前列腺癌的去势抵抗。</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胆固醇介导的代谢-机械传导串扰协调前列腺癌的去势抵抗。摘要要点：生物物理微环境加剧了治疗耐药性，但基质硬度对去势抵抗性前列腺癌（CRPC）的影响仍知之甚少。在这项研究中，我们建立了代谢-机械传导串扰，其中胆固醇驱动的基质重编程放大了 CRPC 进展。（详见网站明细）</w:t>
            </w:r>
          </w:p>
        </w:tc>
      </w:tr>
      <w:tr>
        <w:tc>
          <w:tcPr>
            <w:tcW w:type="dxa" w:w="1152"/>
            <w:vAlign w:val="top"/>
          </w:tcPr>
          <w:p>
            <w:pPr>
              <w:spacing w:after="0"/>
            </w:pPr>
            <w:r/>
            <w:r>
              <w:rPr>
                <w:rFonts w:ascii="Microsoft YaHei" w:hAnsi="Microsoft YaHei" w:eastAsia="微软雅黑"/>
                <w:b w:val="0"/>
                <w:sz w:val="18"/>
              </w:rPr>
              <w:t>2026-06-01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张旭 / 中国人民解放军总医院第一医学中心</w:t>
            </w:r>
          </w:p>
        </w:tc>
        <w:tc>
          <w:tcPr>
            <w:tcW w:type="dxa" w:w="2592"/>
            <w:vAlign w:val="top"/>
          </w:tcPr>
          <w:p>
            <w:pPr>
              <w:spacing w:after="0"/>
            </w:pPr>
            <w:r/>
            <w:r>
              <w:rPr>
                <w:rFonts w:ascii="Microsoft YaHei" w:hAnsi="Microsoft YaHei" w:eastAsia="微软雅黑"/>
                <w:b w:val="0"/>
                <w:sz w:val="18"/>
              </w:rPr>
              <w:t>使用结合 UHR 的机器学习模型预测心力衰竭患者的短期复合结果风险：一项回顾性队列研究。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研究主题：使用结合 UHR 的机器学习模型预测心力衰竭患者的短期复合结果风险：一项回顾性队列研究。摘要要点：简介：尿酸与高密度脂蛋白胆固醇比率（UHR）是反映氧化应激和抗氧化失衡的复合生物标志物。（详见网站明细）</w:t>
            </w:r>
          </w:p>
        </w:tc>
      </w:tr>
      <w:tr>
        <w:tc>
          <w:tcPr>
            <w:tcW w:type="dxa" w:w="1152"/>
            <w:vAlign w:val="top"/>
          </w:tcPr>
          <w:p>
            <w:pPr>
              <w:spacing w:after="0"/>
            </w:pPr>
            <w:r/>
            <w:r>
              <w:rPr>
                <w:rFonts w:ascii="Microsoft YaHei" w:hAnsi="Microsoft YaHei" w:eastAsia="微软雅黑"/>
                <w:b w:val="0"/>
                <w:sz w:val="18"/>
              </w:rPr>
              <w:t>2026-06-01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李学松 / 北京大学第一医院</w:t>
            </w:r>
          </w:p>
        </w:tc>
        <w:tc>
          <w:tcPr>
            <w:tcW w:type="dxa" w:w="2592"/>
            <w:vAlign w:val="top"/>
          </w:tcPr>
          <w:p>
            <w:pPr>
              <w:spacing w:after="0"/>
            </w:pPr>
            <w:r/>
            <w:r>
              <w:rPr>
                <w:rFonts w:ascii="Microsoft YaHei" w:hAnsi="Microsoft YaHei" w:eastAsia="微软雅黑"/>
                <w:b w:val="0"/>
                <w:sz w:val="18"/>
              </w:rPr>
              <w:t>使用 KangDuo-SR-2000 进行机器人辅助根治性前列腺切除术：一项前瞻性、多中心、单臂临床研究。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研究主题：使用 KangDuo-SR-2000 进行机器人辅助根治性前列腺切除术：一项前瞻性、多中心、单臂临床研究。摘要要点：背景：本研究旨在评估新开发的 KangDuo-Surgical-Robot-2000 (KD-SR-2000) 在机器人辅助根治性前列腺切除术 (RARP) 中的可行性、安全（详见网站明细）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Doxazosin mesylate / C24H29N5O8S</w:t>
            </w:r>
          </w:p>
        </w:tc>
        <w:tc>
          <w:tcPr>
            <w:tcW w:type="dxa" w:w="1584"/>
            <w:vAlign w:val="top"/>
          </w:tcPr>
          <w:p>
            <w:pPr>
              <w:spacing w:after="0"/>
            </w:pPr>
            <w:r/>
            <w:r>
              <w:rPr>
                <w:rFonts w:ascii="Microsoft YaHei" w:hAnsi="Microsoft YaHei" w:eastAsia="微软雅黑"/>
                <w:b w:val="0"/>
                <w:sz w:val="18"/>
              </w:rPr>
              <w:t>25</w:t>
            </w:r>
          </w:p>
        </w:tc>
      </w:tr>
      <w:tr>
        <w:tc>
          <w:tcPr>
            <w:tcW w:type="dxa" w:w="7920"/>
            <w:vAlign w:val="top"/>
          </w:tcPr>
          <w:p>
            <w:pPr>
              <w:spacing w:after="0"/>
            </w:pPr>
            <w:r/>
            <w:r>
              <w:rPr>
                <w:rFonts w:ascii="Microsoft YaHei" w:hAnsi="Microsoft YaHei" w:eastAsia="微软雅黑"/>
                <w:b w:val="0"/>
                <w:sz w:val="18"/>
              </w:rPr>
              <w:t>盐酸坦索罗辛 / tamsulosin hydrochloride / C20H29ClN2O5S</w:t>
            </w:r>
          </w:p>
        </w:tc>
        <w:tc>
          <w:tcPr>
            <w:tcW w:type="dxa" w:w="1584"/>
            <w:vAlign w:val="top"/>
          </w:tcPr>
          <w:p>
            <w:pPr>
              <w:spacing w:after="0"/>
            </w:pPr>
            <w:r/>
            <w:r>
              <w:rPr>
                <w:rFonts w:ascii="Microsoft YaHei" w:hAnsi="Microsoft YaHei" w:eastAsia="微软雅黑"/>
                <w:b w:val="0"/>
                <w:sz w:val="18"/>
              </w:rPr>
              <w:t>9</w:t>
            </w:r>
          </w:p>
        </w:tc>
      </w:tr>
      <w:tr>
        <w:tc>
          <w:tcPr>
            <w:tcW w:type="dxa" w:w="7920"/>
            <w:vAlign w:val="top"/>
          </w:tcPr>
          <w:p>
            <w:pPr>
              <w:spacing w:after="0"/>
            </w:pPr>
            <w:r/>
            <w:r>
              <w:rPr>
                <w:rFonts w:ascii="Microsoft YaHei" w:hAnsi="Microsoft YaHei" w:eastAsia="微软雅黑"/>
                <w:b w:val="0"/>
                <w:sz w:val="18"/>
              </w:rPr>
              <w:t>盐酸哌唑嗪 / prazosin hydrochloride / C19H22ClN5O4</w:t>
            </w:r>
          </w:p>
        </w:tc>
        <w:tc>
          <w:tcPr>
            <w:tcW w:type="dxa" w:w="1584"/>
            <w:vAlign w:val="top"/>
          </w:tcPr>
          <w:p>
            <w:pPr>
              <w:spacing w:after="0"/>
            </w:pPr>
            <w:r/>
            <w:r>
              <w:rPr>
                <w:rFonts w:ascii="Microsoft YaHei" w:hAnsi="Microsoft YaHei" w:eastAsia="微软雅黑"/>
                <w:b w:val="0"/>
                <w:sz w:val="18"/>
              </w:rPr>
              <w:t>4</w:t>
            </w:r>
          </w:p>
        </w:tc>
      </w:tr>
      <w:tr>
        <w:tc>
          <w:tcPr>
            <w:tcW w:type="dxa" w:w="7920"/>
            <w:vAlign w:val="top"/>
          </w:tcPr>
          <w:p>
            <w:pPr>
              <w:spacing w:after="0"/>
            </w:pPr>
            <w:r/>
            <w:r>
              <w:rPr>
                <w:rFonts w:ascii="Microsoft YaHei" w:hAnsi="Microsoft YaHei" w:eastAsia="微软雅黑"/>
                <w:b w:val="0"/>
                <w:sz w:val="18"/>
              </w:rPr>
              <w:t>非那雄胺 / finasteride / C23H36N2O2</w:t>
            </w:r>
          </w:p>
        </w:tc>
        <w:tc>
          <w:tcPr>
            <w:tcW w:type="dxa" w:w="1584"/>
            <w:vAlign w:val="top"/>
          </w:tcPr>
          <w:p>
            <w:pPr>
              <w:spacing w:after="0"/>
            </w:pPr>
            <w:r/>
            <w:r>
              <w:rPr>
                <w:rFonts w:ascii="Microsoft YaHei" w:hAnsi="Microsoft YaHei" w:eastAsia="微软雅黑"/>
                <w:b w:val="0"/>
                <w:sz w:val="18"/>
              </w:rPr>
              <w:t>3</w:t>
            </w:r>
          </w:p>
        </w:tc>
      </w:tr>
      <w:tr>
        <w:tc>
          <w:tcPr>
            <w:tcW w:type="dxa" w:w="7920"/>
            <w:vAlign w:val="top"/>
          </w:tcPr>
          <w:p>
            <w:pPr>
              <w:spacing w:after="0"/>
            </w:pPr>
            <w:r/>
            <w:r>
              <w:rPr>
                <w:rFonts w:ascii="Microsoft YaHei" w:hAnsi="Microsoft YaHei" w:eastAsia="微软雅黑"/>
                <w:b w:val="0"/>
                <w:sz w:val="18"/>
              </w:rPr>
              <w:t>度他雄胺 / dutasteride / C27H30F6N2O2</w:t>
            </w:r>
          </w:p>
        </w:tc>
        <w:tc>
          <w:tcPr>
            <w:tcW w:type="dxa" w:w="1584"/>
            <w:vAlign w:val="top"/>
          </w:tcPr>
          <w:p>
            <w:pPr>
              <w:spacing w:after="0"/>
            </w:pPr>
            <w:r/>
            <w:r>
              <w:rPr>
                <w:rFonts w:ascii="Microsoft YaHei" w:hAnsi="Microsoft YaHei" w:eastAsia="微软雅黑"/>
                <w:b w:val="0"/>
                <w:sz w:val="18"/>
              </w:rPr>
              <w:t>3</w:t>
            </w:r>
          </w:p>
        </w:tc>
      </w:tr>
      <w:tr>
        <w:tc>
          <w:tcPr>
            <w:tcW w:type="dxa" w:w="7920"/>
            <w:vAlign w:val="top"/>
          </w:tcPr>
          <w:p>
            <w:pPr>
              <w:spacing w:after="0"/>
            </w:pPr>
            <w:r/>
            <w:r>
              <w:rPr>
                <w:rFonts w:ascii="Microsoft YaHei" w:hAnsi="Microsoft YaHei" w:eastAsia="微软雅黑"/>
                <w:b w:val="0"/>
                <w:sz w:val="18"/>
              </w:rPr>
              <w:t>他达拉非 / tadalafil / C22H19N3O4</w:t>
            </w:r>
          </w:p>
        </w:tc>
        <w:tc>
          <w:tcPr>
            <w:tcW w:type="dxa" w:w="1584"/>
            <w:vAlign w:val="top"/>
          </w:tcPr>
          <w:p>
            <w:pPr>
              <w:spacing w:after="0"/>
            </w:pPr>
            <w:r/>
            <w:r>
              <w:rPr>
                <w:rFonts w:ascii="Microsoft YaHei" w:hAnsi="Microsoft YaHei" w:eastAsia="微软雅黑"/>
                <w:b w:val="0"/>
                <w:sz w:val="18"/>
              </w:rPr>
              <w:t>3</w:t>
            </w:r>
          </w:p>
        </w:tc>
      </w:tr>
      <w:tr>
        <w:tc>
          <w:tcPr>
            <w:tcW w:type="dxa" w:w="7920"/>
            <w:vAlign w:val="top"/>
          </w:tcPr>
          <w:p>
            <w:pPr>
              <w:spacing w:after="0"/>
            </w:pPr>
            <w:r/>
            <w:r>
              <w:rPr>
                <w:rFonts w:ascii="Microsoft YaHei" w:hAnsi="Microsoft YaHei" w:eastAsia="微软雅黑"/>
                <w:b w:val="0"/>
                <w:sz w:val="18"/>
              </w:rPr>
              <w:t>甲磺酸多沙唑嗪 / doxazosin mesylate / C24H29N5O8S</w:t>
            </w:r>
          </w:p>
        </w:tc>
        <w:tc>
          <w:tcPr>
            <w:tcW w:type="dxa" w:w="1584"/>
            <w:vAlign w:val="top"/>
          </w:tcPr>
          <w:p>
            <w:pPr>
              <w:spacing w:after="0"/>
            </w:pPr>
            <w:r/>
            <w:r>
              <w:rPr>
                <w:rFonts w:ascii="Microsoft YaHei" w:hAnsi="Microsoft YaHei" w:eastAsia="微软雅黑"/>
                <w:b w:val="0"/>
                <w:sz w:val="18"/>
              </w:rPr>
              <w:t>1</w:t>
            </w:r>
          </w:p>
        </w:tc>
      </w:tr>
      <w:tr>
        <w:tc>
          <w:tcPr>
            <w:tcW w:type="dxa" w:w="7920"/>
            <w:vAlign w:val="top"/>
          </w:tcPr>
          <w:p>
            <w:pPr>
              <w:spacing w:after="0"/>
            </w:pPr>
            <w:r/>
            <w:r>
              <w:rPr>
                <w:rFonts w:ascii="Microsoft YaHei" w:hAnsi="Microsoft YaHei" w:eastAsia="微软雅黑"/>
                <w:b w:val="0"/>
                <w:sz w:val="18"/>
              </w:rPr>
              <w:t>盐酸特拉唑嗪 / terazosin hydrochloride / C19H30ClN5O6</w:t>
            </w:r>
          </w:p>
        </w:tc>
        <w:tc>
          <w:tcPr>
            <w:tcW w:type="dxa" w:w="1584"/>
            <w:vAlign w:val="top"/>
          </w:tcPr>
          <w:p>
            <w:pPr>
              <w:spacing w:after="0"/>
            </w:pPr>
            <w:r/>
            <w:r>
              <w:rPr>
                <w:rFonts w:ascii="Microsoft YaHei" w:hAnsi="Microsoft YaHei" w:eastAsia="微软雅黑"/>
                <w:b w:val="0"/>
                <w:sz w:val="18"/>
              </w:rPr>
              <w:t>1</w:t>
            </w:r>
          </w:p>
        </w:tc>
      </w:tr>
    </w:tbl>
    <w:p>
      <w:pPr>
        <w:pStyle w:val="Heading1"/>
      </w:pPr>
      <w:r>
        <w:t>六、建议跟进</w:t>
      </w:r>
    </w:p>
    <w:p>
      <w:pPr>
        <w:pStyle w:val="ListBullet"/>
      </w:pPr>
      <w:r>
        <w:rPr>
          <w:rFonts w:ascii="Microsoft YaHei" w:hAnsi="Microsoft YaHei" w:eastAsia="微软雅黑"/>
          <w:sz w:val="21"/>
        </w:rPr>
        <w:t>Clinical｜盐酸坦索罗辛相关 ClinicalTrials.gov 临床研究更新（NCT07654413）：建议结合研究设计、入排标准、终点和安全性信息判断对本品医学沟通、竞品监测或风险沟通的影响。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Clinical｜盐酸坦索罗辛相关 ClinicalTrials.gov 临床研究更新（NCT07650968）：建议结合研究设计、入排标准、终点和安全性信息判断对本品医学沟通、竞品监测或风险沟通的影响。</w:t>
      </w:r>
    </w:p>
    <w:p>
      <w:pPr>
        <w:pStyle w:val="ListBullet"/>
      </w:pPr>
      <w:r>
        <w:rPr>
          <w:rFonts w:ascii="Microsoft YaHei" w:hAnsi="Microsoft YaHei" w:eastAsia="微软雅黑"/>
          <w:sz w:val="21"/>
        </w:rPr>
        <w:t>Clinical｜他达拉非相关 ClinicalTrials.gov 临床研究更新（NCT07636161）：建议结合研究设计、入排标准、终点和安全性信息判断对本品医学沟通、竞品监测或风险沟通的影响。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Clinical｜盐酸坦索罗辛相关 ClinicalTrials.gov 临床研究更新（NCT07310797）：建议结合研究设计、入排标准、终点和安全性信息判断对本品医学沟通、竞品监测或风险沟通的影响。</w:t>
      </w:r>
    </w:p>
    <w:p>
      <w:pPr>
        <w:pStyle w:val="ListBullet"/>
      </w:pPr>
      <w:r>
        <w:rPr>
          <w:rFonts w:ascii="Microsoft YaHei" w:hAnsi="Microsoft YaHei" w:eastAsia="微软雅黑"/>
          <w:sz w:val="21"/>
        </w:rPr>
        <w:t>PubMed｜度他雄胺相关 PubMed 论文发布（PMID 41821360）：建议结合研究设计、入排标准、终点和安全性信息判断对本品医学沟通、竞品监测或风险沟通的影响。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