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微软雅黑"/>
          <w:b/>
          <w:color w:val="084F49"/>
          <w:sz w:val="40"/>
        </w:rPr>
        <w:t>迪敏思｜2026年6月关注报告</w:t>
      </w:r>
    </w:p>
    <w:p>
      <w:pPr>
        <w:jc w:val="center"/>
      </w:pPr>
      <w:r>
        <w:rPr>
          <w:rFonts w:ascii="Microsoft YaHei" w:hAnsi="Microsoft YaHei" w:eastAsia="微软雅黑"/>
          <w:color w:val="5F6F72"/>
          <w:sz w:val="19"/>
        </w:rPr>
        <w:t>数据范围：2026-06-01 至 2026-06-30｜来源：产品/竞品研究进展 + NKOL 微信/PubMed 明细</w:t>
      </w:r>
    </w:p>
    <w:p>
      <w:pPr>
        <w:spacing w:before="200" w:after="120"/>
      </w:pPr>
      <w:r>
        <w:rPr>
          <w:rFonts w:ascii="Microsoft YaHei" w:hAnsi="Microsoft YaHei" w:eastAsia="微软雅黑"/>
          <w:b/>
          <w:color w:val="0F766D"/>
          <w:sz w:val="28"/>
        </w:rPr>
        <w:t>管理层摘要</w:t>
      </w:r>
    </w:p>
    <w:p>
      <w:pPr>
        <w:spacing w:after="100" w:line="300" w:lineRule="auto"/>
      </w:pPr>
      <w:r>
        <w:rPr>
          <w:rFonts w:ascii="Microsoft YaHei" w:hAnsi="Microsoft YaHei" w:eastAsia="微软雅黑"/>
          <w:b/>
          <w:color w:val="173B3A"/>
          <w:sz w:val="23"/>
        </w:rPr>
        <w:t>6月迪敏思的核心信号是：同成分复方仍有临床更新，但过敏性鼻炎和鼻息肉相关竞争正在向生物制剂、口服抗组胺和局部激素多路径展开。</w:t>
      </w:r>
    </w:p>
    <w:p>
      <w:pPr>
        <w:spacing w:after="60" w:line="293" w:lineRule="auto"/>
        <w:ind w:left="160"/>
      </w:pPr>
      <w:r>
        <w:rPr>
          <w:rFonts w:ascii="Microsoft YaHei" w:hAnsi="Microsoft YaHei" w:eastAsia="微软雅黑"/>
          <w:b w:val="0"/>
          <w:color w:val="253638"/>
          <w:sz w:val="21"/>
        </w:rPr>
        <w:t>发生了什么：本月纳入65条产品/竞品进展，43条建议跟进、23条高证据；Clinical更新集中在Dymista同成分、Dupixent、Allegra、Nasonex等，KOL侧出现雷暴哮喘和气道炎症相关内容。</w:t>
      </w:r>
    </w:p>
    <w:p>
      <w:pPr>
        <w:spacing w:after="60" w:line="293" w:lineRule="auto"/>
        <w:ind w:left="160"/>
      </w:pPr>
      <w:r>
        <w:rPr>
          <w:rFonts w:ascii="Microsoft YaHei" w:hAnsi="Microsoft YaHei" w:eastAsia="微软雅黑"/>
          <w:b w:val="0"/>
          <w:color w:val="253638"/>
          <w:sz w:val="21"/>
        </w:rPr>
        <w:t>关注什么：优先关注Dymista同成分复方研究、Dupixent在鼻息肉/过敏炎症路径中的高阶治疗、口服抗组胺和局部激素竞品更新。</w:t>
      </w:r>
    </w:p>
    <w:p>
      <w:pPr>
        <w:spacing w:after="60" w:line="293" w:lineRule="auto"/>
        <w:ind w:left="160"/>
      </w:pPr>
      <w:r>
        <w:rPr>
          <w:rFonts w:ascii="Microsoft YaHei" w:hAnsi="Microsoft YaHei" w:eastAsia="微软雅黑"/>
          <w:b w:val="0"/>
          <w:color w:val="253638"/>
          <w:sz w:val="21"/>
        </w:rPr>
        <w:t>为什么关注：生物制剂可能改变重症或合并鼻息肉患者的治疗路径，口服和局部竞品则直接影响轻中度过敏性鼻炎患者的用药选择。</w:t>
      </w:r>
    </w:p>
    <w:p>
      <w:pPr>
        <w:spacing w:after="60" w:line="293" w:lineRule="auto"/>
        <w:ind w:left="160"/>
      </w:pPr>
      <w:r>
        <w:rPr>
          <w:rFonts w:ascii="Microsoft YaHei" w:hAnsi="Microsoft YaHei" w:eastAsia="微软雅黑"/>
          <w:b w:val="0"/>
          <w:color w:val="253638"/>
          <w:sz w:val="21"/>
        </w:rPr>
        <w:t>建议动作：拆分轻中度鼻炎、重症鼻息肉和哮喘相关人群；更新Dymista复方优势和适用场景；跟进Dupixent等生物制剂研究设计和终点。</w:t>
      </w:r>
    </w:p>
    <w:p>
      <w:pPr>
        <w:spacing w:after="40"/>
      </w:pPr>
    </w:p>
    <w:p>
      <w:pPr>
        <w:pStyle w:val="Heading1"/>
      </w:pPr>
      <w:r>
        <w:t>一、本月概览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88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728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数量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产品/竞品进展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65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建议跟进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43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高证据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23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KOL/专家记录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11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涉及专家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8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涉及机构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7</w:t>
            </w:r>
          </w:p>
        </w:tc>
      </w:tr>
    </w:tbl>
    <w:p>
      <w:pPr>
        <w:pStyle w:val="Heading1"/>
      </w:pPr>
      <w:r>
        <w:t>二、本月结论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6月共纳入 65 条产品/竞品研究进展，其中 43 条建议跟进，23 条为高证据。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产品进展主要来源于：PubMed 34条；Clinical 25条；万方 6条。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本月关注口径集中在：重症/潜在竞品；Dupixent；同类竞品；Rhinocort；本品/同成分；迪敏思/Dymista；重症/潜在竞品；Xolair。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KOL/专家侧共 11 条记录，涉及 8 位专家、7 家机构；来源构成为：PubMed 9条；微信公众号 2条。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涉及分子/靶点高频出现：Azelastine HCl / C22H25Cl2N3O + Fluticasone propionate / C25H31F3O5S；分子量和糖基化等取决于序列与生产工艺；度普利尤单抗 / dupilumab；布地奈德 / budesonide / C25H34O6；奥马珠单抗 / omalizumab；地氯雷他定 / desloratadine / C19H19ClN2。</w:t>
      </w:r>
    </w:p>
    <w:p>
      <w:pPr>
        <w:pStyle w:val="Heading1"/>
      </w:pPr>
      <w:r>
        <w:t>三、重点关注事项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152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08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94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产品/竞品口径</w:t>
            </w:r>
          </w:p>
        </w:tc>
        <w:tc>
          <w:tcPr>
            <w:tcW w:type="dxa" w:w="122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证据/跟进</w:t>
            </w:r>
          </w:p>
        </w:tc>
        <w:tc>
          <w:tcPr>
            <w:tcW w:type="dxa" w:w="2448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标题/事件</w:t>
            </w:r>
          </w:p>
        </w:tc>
        <w:tc>
          <w:tcPr>
            <w:tcW w:type="dxa" w:w="3096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核心内容摘要</w:t>
            </w:r>
          </w:p>
        </w:tc>
        <w:tc>
          <w:tcPr>
            <w:tcW w:type="dxa" w:w="216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影响判断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2026-06-18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重症/潜在竞品；Dupixent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度普利尤单抗相关 ClinicalTrials.gov 临床研究更新（NCT04206553）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to Evaluate the Efficacy and Safety of Dupilumab in Adult Patients With Bullous Pemphigoid；NCT：NCT04206553；状态：已完成；（详见网站明细）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鼻息肉、过敏炎症相关高阶治疗路径；建议查看研究设计、入排标准和终点，判断对迪敏思或同机制竞品监测的影响。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2026-06-18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重症/潜在竞品；Dupixent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度普利尤单抗相关 ClinicalTrials.gov 临床研究更新（NCT07112378）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of Dupilumab in Small Children With an Allergic Condition of the Esophagus (Food Pipe): Eosinophilic Esophagitis；（详见网站明细）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鼻息肉、过敏炎症相关高阶治疗路径；建议查看研究设计、入排标准和终点，判断对迪敏思或同机制竞品监测的影响。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2026-06-17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本品/同成分；迪敏思/Dymista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盐酸氮卓斯汀+丙酸氟替卡松相关 ClinicalTrials.gov 临床研究更新（NCT06052267）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to Test if a Fixed-Dose Combination of Fluticasone Propionate/Albuterol Sulfate is Effective in Preventing Asthma Exacer（详见网站明细）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同成分复方与局部抗炎抗过敏竞争；建议查看研究设计、入排标准和终点，判断对迪敏思或同机制竞品监测的影响。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2026-06-17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本品/同成分；迪敏思/Dymista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盐酸氮卓斯汀+丙酸氟替卡松相关 ClinicalTrials.gov 临床研究更新（NCT06664619）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Randomized, Double-Blind, Placebo-Controlled Trial on Efficacy and Safety of Fluticasone Propionate/Albuterol Sulfate Combinat（详见网站明细）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同成分复方与局部抗炎抗过敏竞争；建议查看研究设计、入排标准和终点，判断对迪敏思或同机制竞品监测的影响。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2026-06-10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口服竞品；Allegra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盐酸非索非那定相关 ClinicalTrials.gov 临床研究更新（NCT04688788）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研究：Non-inferiority Study of Ocrelizumab and Rituximab in Active Multiple Sclerosis；NCT：NCT04688788；状态：ACTIVE_NOT_RECRUITING；（详见网站明细）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过敏性鼻炎口服替代；建议查看研究设计、入排标准和终点，判断对迪敏思或同机制竞品监测的影响。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2026-06-09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本品/同成分；迪敏思/Dymista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盐酸氮卓斯汀+丙酸氟替卡松相关 ClinicalTrials.gov 临床研究更新（NCT05535738）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研究：Using a Contact Dermatitis Model With Biologic Medications to Study Skin Inflammation；NCT：NCT05535738；状态：ACTIVE_NOT_RECRUITING；（详见网站明细）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同成分复方与局部抗炎抗过敏竞争；建议查看研究设计、入排标准和终点，判断对迪敏思或同机制竞品监测的影响。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2026-06-08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口服竞品；Allegra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盐酸非索非那定相关 ClinicalTrials.gov 临床研究更新（NCT05263206）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研究：Efficacy and Safety of Subcutaneous Dupilumab for the Treatment of Adult Participants With Chronic Pruritus of Unknown Origin (C（详见网站明细）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过敏性鼻炎口服替代；建议查看研究设计、入排标准和终点，判断对迪敏思或同机制竞品监测的影响。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2026-06-05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同类竞品；Nasonex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糠酸莫米松相关 ClinicalTrials.gov 临床研究更新（NCT05562466）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to Evaluate the Efficacy and Safety of QMF149 (Indacaterol Acetate/Mometasone Furoate) Versus Budesonide in Children Fro（详见网站明细）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鼻炎局部激素替代；建议查看研究设计、入排标准和终点，判断对迪敏思或同机制竞品监测的影响。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2026-06-05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重症/潜在竞品；Dupixent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度普利尤单抗相关 ClinicalTrials.gov 临床研究更新（NCT06868212）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to Evaluate Efficacy of Remibrutinib Compared to Dupilumab at Early Timepoints in Adults With Chronic Spontaneous Urtica（详见网站明细）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鼻息肉、过敏炎症相关高阶治疗路径；建议查看研究设计、入排标准和终点，判断对迪敏思或同机制竞品监测的影响。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2026-06-03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同类竞品；Rhinocort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布地奈德相关 ClinicalTrials.gov 临床研究更新（NCT07073950）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to Investigate the Effect of Budesonide/Glycopyrronium/Formoterol Fumarate Metered Dose Inhaler (BGF MDI) Compared With（详见网站明细）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鼻炎局部激素替代；建议查看研究设计、入排标准和终点，判断对迪敏思或同机制竞品监测的影响。</w:t>
            </w:r>
          </w:p>
        </w:tc>
      </w:tr>
    </w:tbl>
    <w:p>
      <w:pPr>
        <w:pStyle w:val="Heading1"/>
      </w:pPr>
      <w:r>
        <w:t>四、KOL/专家动态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152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296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936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16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专家/机构</w:t>
            </w:r>
          </w:p>
        </w:tc>
        <w:tc>
          <w:tcPr>
            <w:tcW w:type="dxa" w:w="2592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728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产品信息</w:t>
            </w:r>
          </w:p>
        </w:tc>
        <w:tc>
          <w:tcPr>
            <w:tcW w:type="dxa" w:w="324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内容概要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2026-06-16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张罗 / 首都医科大学附属北京同仁医院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Dupilumab 在中国成人慢性鼻窦炎伴鼻息肉患者中的疗效和安全性：一项随机、安慰剂对照、III 期试验。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度普利尤单抗 / dupilumab</w:t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研究主题：Dupilumab 在中国成人慢性鼻窦炎伴鼻息肉患者中的疗效和安全性：一项随机、安慰剂对照、III 期试验。摘要要点：背景：在临床试验和现实世界实践中，Dupilumab 对未受控制的 CRSwNP 患者显示出疗效，但中国患者的数据有限。（详见网站明细）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2026-06-22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微信公众号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非会议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程雷 / 江苏省人民医院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【标准·指南·共识】雷暴哮喘防控专家共识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全文已读取，但正文中未定位到该专家姓名，需人工复核。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2026-06-22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微信公众号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非会议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支玉香 / 中国医学科学院北京协和医院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【标准·指南·共识】雷暴哮喘防控专家共识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全文已读取，但正文中未定位到该专家姓名，需人工复核。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2026-06-17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文卫平 / 中山大学附属第六医院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通过基于 Zr4+ 的纳米酶降解 cfDNA/NETs 来破坏神经免疫串扰：气道炎症性疾病的治疗策略。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研究主题：通过基于 Zr4+ 的纳米酶降解 cfDNA/NETs 来破坏神经免疫串扰：气道炎症性疾病的治疗策略。摘要要点：最近的研究表明，神经免疫相互作用对于气道炎症的发病机制和持续存在至关重要。（详见网站明细）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2026-06-17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李健 / 中山大学附属第一医院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通过基于 Zr4+ 的纳米酶降解 cfDNA/NETs 来破坏神经免疫串扰：气道炎症性疾病的治疗策略。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研究主题：通过基于 Zr4+ 的纳米酶降解 cfDNA/NETs 来破坏神经免疫串扰：气道炎症性疾病的治疗策略。摘要要点：最近的研究表明，神经免疫相互作用对于气道炎症的发病机制和持续存在至关重要。（详见网站明细）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2026-06-16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刘争 / 武汉大学中南医院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衰老、遗传易感性和慢性炎症性上呼吸道疾病的风险：前瞻性队列研究的发现。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基于题名判断，文章主题为：衰老、遗传易感性和慢性炎症性上呼吸道疾病的风险：前瞻性队列研究的发现。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2026-06-15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张罗 / 首都医科大学附属北京同仁医院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慢性阻塞性肺疾病中会招募具有不同表型的纤维细胞。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慢性阻塞性肺疾病中会招募具有不同表型的纤维细胞。摘要要点：先前的研究表明，慢性阻塞性肺疾病（COPD）患者的循环和气道壁中的纤维细胞增加。然而，尚不清楚纤维细胞是否表达不同的表型。该研究的目的是进一步评估 COPD 患者和小鼠模型中纤维细胞的募集和表型特征。（详见网站明细）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2026-06-10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蒋卫红 / 中南大学湘雅医院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SPRR2A-CSTA 轴驱动 IL-17A 诱导的过敏性鼻炎鳞状上皮化生和类固醇耐药。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研究主题：SPRR2A-CSTA 轴驱动 IL-17A 诱导的过敏性鼻炎鳞状上皮化生和类固醇耐药。摘要要点：背景：上皮重塑，特别是鳞状上皮化生（SM），是难治性变应性鼻炎（AR）中常见但尚未充分研究的上皮改变。其分子驱动因素和对类固醇抵抗的贡献仍不清楚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2026-06-04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支玉香 / 中国医学科学院北京协和医院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过敏科嗜酸性肉芽肿性多血管炎的诊断和治疗途径。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过敏科嗜酸性肉芽肿性多血管炎的诊断和治疗途径。摘要要点：嗜酸性肉芽肿性多血管炎（EGPA）是一种罕见的异质性自身免疫性疾病，涉及多个器官和系统，其特征是哮喘、嗜酸性粒细胞增多以及多个器官的肉芽肿或血管炎。大多数最初症状包括鼻炎、鼻窦炎和哮喘。主要咨询科室通常是过敏科、耳鼻喉科和呼吸科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2026-06-01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关凯 / 中国医学科学院北京协和医院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用于治疗抽动障碍的可乐定透皮贴剂引起的过敏性接触性皮炎：第一个儿科病例报告和文献综述。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用于治疗抽动障碍的可乐定透皮贴剂引起的过敏性接触性皮炎：第一个儿科病例报告和文献综述。摘要要点：背景：最近，可乐定越来越多地用于治疗儿童抽动障碍，而不是治疗成人高血压。透皮贴剂是常见的给药途径。（详见网站明细）</w:t>
            </w:r>
          </w:p>
        </w:tc>
      </w:tr>
    </w:tbl>
    <w:p>
      <w:pPr>
        <w:pStyle w:val="Heading1"/>
      </w:pPr>
      <w:r>
        <w:t>五、涉及分子/靶点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92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分子/靶点/通用名</w:t>
            </w:r>
          </w:p>
        </w:tc>
        <w:tc>
          <w:tcPr>
            <w:tcW w:type="dxa" w:w="158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出现次数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Azelastine HCl / C22H25Cl2N3O + Fluticasone propionate / C25H31F3O5S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65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分子量和糖基化等取决于序列与生产工艺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32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度普利尤单抗 / dupilumab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26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布地奈德 / budesonide / C25H34O6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13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奥马珠单抗 / omalizumab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8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地氯雷他定 / desloratadine / C19H19ClN2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盐酸西替利嗪 / cetirizine hydrochloride / C21H27Cl3N2O3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盐酸非索非那定 / fexofenadine hydrochloride / C32H40ClNO4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糠酸莫米松 / mometasone furoate / C27H30Cl2O6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盐酸奥洛他定 / olopatadine hydrochloride / C21H24ClNO3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</w:t>
            </w:r>
          </w:p>
        </w:tc>
      </w:tr>
    </w:tbl>
    <w:p>
      <w:pPr>
        <w:pStyle w:val="Heading1"/>
      </w:pPr>
      <w:r>
        <w:t>六、建议跟进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Clinical｜度普利尤单抗相关 ClinicalTrials.gov 临床研究更新（NCT04206553）：建议结合研究设计、入排标准、终点和安全性信息判断对本品医学沟通、竞品监测或风险沟通的影响。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Clinical｜度普利尤单抗相关 ClinicalTrials.gov 临床研究更新（NCT07112378）：建议结合研究设计、入排标准、终点和安全性信息判断对本品医学沟通、竞品监测或风险沟通的影响。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Clinical｜盐酸氮卓斯汀+丙酸氟替卡松相关 ClinicalTrials.gov 临床研究更新（NCT06052267）：建议结合研究设计、入排标准、终点和安全性信息判断对本品医学沟通、竞品监测或风险沟通的影响。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Clinical｜盐酸氮卓斯汀+丙酸氟替卡松相关 ClinicalTrials.gov 临床研究更新（NCT06664619）：建议结合研究设计、入排标准、终点和安全性信息判断对本品医学沟通、竞品监测或风险沟通的影响。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Clinical｜盐酸非索非那定相关 ClinicalTrials.gov 临床研究更新（NCT04688788）：建议结合研究设计、入排标准、终点和安全性信息判断对本品医学沟通、竞品监测或风险沟通的影响。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专家侧建议优先核对高频专家/机构与产品线的关联，必要时补充会议报道原文和论文全文。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4F4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7222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84F4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