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微软雅黑"/>
          <w:b/>
          <w:color w:val="084F49"/>
          <w:sz w:val="40"/>
        </w:rPr>
        <w:t>爱宁达｜2026年6月关注报告</w:t>
      </w:r>
    </w:p>
    <w:p>
      <w:pPr>
        <w:jc w:val="center"/>
      </w:pPr>
      <w:r>
        <w:rPr>
          <w:rFonts w:ascii="Microsoft YaHei" w:hAnsi="Microsoft YaHei" w:eastAsia="微软雅黑"/>
          <w:color w:val="5F6F72"/>
          <w:sz w:val="19"/>
        </w:rPr>
        <w:t>数据范围：2026-06-01 至 2026-06-30｜来源：产品/竞品研究进展 + NKOL 微信/PubMed 明细</w:t>
      </w:r>
    </w:p>
    <w:p>
      <w:pPr>
        <w:spacing w:before="200" w:after="120"/>
      </w:pPr>
      <w:r>
        <w:rPr>
          <w:rFonts w:ascii="Microsoft YaHei" w:hAnsi="Microsoft YaHei" w:eastAsia="微软雅黑"/>
          <w:b/>
          <w:color w:val="0F766D"/>
          <w:sz w:val="28"/>
        </w:rPr>
        <w:t>管理层摘要</w:t>
      </w:r>
    </w:p>
    <w:p>
      <w:pPr>
        <w:spacing w:after="100" w:line="300" w:lineRule="auto"/>
      </w:pPr>
      <w:r>
        <w:rPr>
          <w:rFonts w:ascii="Microsoft YaHei" w:hAnsi="Microsoft YaHei" w:eastAsia="微软雅黑"/>
          <w:b/>
          <w:color w:val="173B3A"/>
          <w:sz w:val="23"/>
        </w:rPr>
        <w:t>6月爱宁达的核心信号是：AD治疗竞争明显升级，生物制剂、外用非激素和JAK路径都有高证据更新；爱宁达作为乳膏，应优先围绕外用和轻中度AD场景做定位。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发生了什么：本月纳入105条产品/竞品进展，49条建议跟进、22条高证据；更新集中在Dupixent、Ebglyss、Olumiant、Zoryve、Vtama、本品/同成分及外用JAK等。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关注什么：优先关注Pimecrolimus同成分、Tacrolimus外用、Vtama/Zoryve等外用非激素、Opzelura等外用JAK，以及Dupixent/Ebglyss/Olumiant等中重度系统治疗。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为什么关注：生物制剂和JAK影响中重度AD升级路径，外用非激素直接影响爱宁达在乳膏、轻中度、长期管理和安全性沟通中的竞争位置。</w:t>
      </w:r>
    </w:p>
    <w:p>
      <w:pPr>
        <w:spacing w:after="60" w:line="293" w:lineRule="auto"/>
        <w:ind w:left="160"/>
      </w:pPr>
      <w:r>
        <w:rPr>
          <w:rFonts w:ascii="Microsoft YaHei" w:hAnsi="Microsoft YaHei" w:eastAsia="微软雅黑"/>
          <w:b w:val="0"/>
          <w:color w:val="253638"/>
          <w:sz w:val="21"/>
        </w:rPr>
        <w:t>建议动作：严格排除非外用剂型干扰，单独标注外用/口服/生物制剂；更新轻中度AD外用治疗定位；逐条核对高证据竞品研究的人群、终点和安全性。</w:t>
      </w:r>
    </w:p>
    <w:p>
      <w:pPr>
        <w:spacing w:after="40"/>
      </w:pPr>
    </w:p>
    <w:p>
      <w:pPr>
        <w:pStyle w:val="Heading1"/>
      </w:pPr>
      <w:r>
        <w:t>一、本月概览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28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数量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产品/竞品进展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105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建议跟进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49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高证据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KOL/专家记录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涉及专家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涉及机构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</w:t>
            </w:r>
          </w:p>
        </w:tc>
      </w:tr>
    </w:tbl>
    <w:p>
      <w:pPr>
        <w:pStyle w:val="Heading1"/>
      </w:pPr>
      <w:r>
        <w:t>二、本月结论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6月共纳入 105 条产品/竞品研究进展，其中 49 条建议跟进，22 条为高证据。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产品进展主要来源于：PubMed 85条；Clinical 18条；万方 2条。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本月关注口径集中在：生物制剂竞品；Dupixent；系统治疗竞品；Rinvoq；机制竞品；Opzelura；系统治疗竞品；Olumiant。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KOL/专家侧共 10 条记录，涉及 6 位专家、4 家机构；来源构成为：微信公众号 5条；PubMed 5条。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涉及分子/靶点高频出现：Pimecrolimus / C43H68ClNO11；分子量和糖基化等取决于序列与生产工艺；度普利尤单抗 / dupilumab；乌帕替尼 / upadacitinib / C17H19F3N6O；鲁索替尼磷酸盐 / ruxolitinib phosphate / C17H21N6O4P；巴瑞替尼 / baricitinib / C16H17N7O2S。</w:t>
      </w:r>
    </w:p>
    <w:p>
      <w:pPr>
        <w:pStyle w:val="Heading1"/>
      </w:pPr>
      <w:r>
        <w:t>三、重点关注事项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94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产品/竞品口径</w:t>
            </w:r>
          </w:p>
        </w:tc>
        <w:tc>
          <w:tcPr>
            <w:tcW w:type="dxa" w:w="122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证据/跟进</w:t>
            </w:r>
          </w:p>
        </w:tc>
        <w:tc>
          <w:tcPr>
            <w:tcW w:type="dxa" w:w="244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标题/事件</w:t>
            </w:r>
          </w:p>
        </w:tc>
        <w:tc>
          <w:tcPr>
            <w:tcW w:type="dxa" w:w="30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核心内容摘要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影响判断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生物制剂竞品；Dupixent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度普利尤单抗相关 ClinicalTrials.gov 临床研究更新（NCT04206553）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the Efficacy and Safety of Dupilumab in Adult Patients With Bullous Pemphigoid；NCT：NCT04206553；状态：已完成；（详见网站明细）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中重度 AD 生物制剂；建议查看研究设计、入排标准和终点，判断对爱宁达或同机制竞品监测的影响。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生物制剂竞品；Ebglyss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来布奇珠单抗相关 ClinicalTrials.gov 临床研究更新（NCT06339008）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of Lebrikizumab in Adult Participants With Perennial Allergic Rhinitis (PREPARED-1)；NCT：NCT06339008；状态：RECRUITING；（详见网站明细）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中重度 AD 生物制剂；建议查看研究设计、入排标准和终点，判断对爱宁达或同机制竞品监测的影响。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2026-06-18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生物制剂竞品；Ebglyss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来布奇珠单抗相关 ClinicalTrials.gov 临床研究更新（NCT06338995）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of Lebrikizumab (LY3650150) in Participants With Chronic Rhinosinusitis and Nasal Polyps Treated With Intranasal Cortico（详见网站明细）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中重度 AD 生物制剂；建议查看研究设计、入排标准和终点，判断对爱宁达或同机制竞品监测的影响。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机制竞品；Zoryve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罗氟司特相关 ClinicalTrials.gov 临床研究更新（NCT00242307）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研究：Efficacy and Safety of Roflumilast in Japanese Patients With Bronchial Asthma (20 to 70 y) (APTA-2217-05).；NCT：NCT00242307；（详见网站明细）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炎症性皮肤病外用替代；建议查看研究设计、入排标准和终点，判断对爱宁达或同机制竞品监测的影响。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2026-06-10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系统治疗竞品；Olumiant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巴瑞替尼相关 ClinicalTrials.gov 临床研究更新（NCT07279688）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研究：Justification And Evaluation of Baricitinib Plus Corticosteroids Versus corticosteroiDs Alone in pOlymyalgia RhEumatica；（详见网站明细）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中重度 AD 系统治疗；建议查看研究设计、入排标准和终点，判断对爱宁达或同机制竞品监测的影响。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2026-06-09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直接竞品；Vtama/本维莫德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本维莫德相关 ClinicalTrials.gov 临床研究更新（NCT07635043）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研究：Efficacy of Topical Tapinarof Versus Betamethasone in the Treatment of Plaque Psoriasis；NCT：NCT07635043；状态：NOT_YET_RECRUITING；（详见网站明细）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外用非激素 AD/炎症性皮肤病竞品；建议查看研究设计、入排标准和终点，判断对爱宁达或同机制竞品监测的影响。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2026-06-09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生物制剂竞品；Dupixent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度普利尤单抗相关 ClinicalTrials.gov 临床研究更新（NCT05535738）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研究：Using a Contact Dermatitis Model With Biologic Medications to Study Skin Inflammation；NCT：NCT05535738；状态：ACTIVE_NOT_RECRUITING；（详见网站明细）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中重度 AD 生物制剂；建议查看研究设计、入排标准和终点，判断对爱宁达或同机制竞品监测的影响。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本品/同成分；爱宁达/Elidel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吡美莫司相关 ClinicalTrials.gov 临床研究更新（NCT06241118）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the Efficacy and Safety of Subcutaneous Amlitelimab on Background Topical Corticosteroids Therapy in Partici（详见网站明细）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同成分和外用 AD 药物竞争；建议查看研究设计、入排标准和终点，判断对爱宁达或同机制竞品监测的影响。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本品/同成分；吡美莫司仿制品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吡美莫司相关 ClinicalTrials.gov 临床研究更新（NCT06241118）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Evaluate the Efficacy and Safety of Subcutaneous Amlitelimab on Background Topical Corticosteroids Therapy in Partici（详见网站明细）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同成分仿制品相关研究进展；建议查看研究设计、入排标准和终点，判断对爱宁达或同机制竞品监测的影响。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2026-06-04</w:t>
            </w:r>
          </w:p>
        </w:tc>
        <w:tc>
          <w:tcPr>
            <w:tcW w:type="dxa" w:w="108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</w:t>
            </w:r>
          </w:p>
        </w:tc>
        <w:tc>
          <w:tcPr>
            <w:tcW w:type="dxa" w:w="194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直接竞品；Vtama/本维莫德</w:t>
            </w:r>
          </w:p>
        </w:tc>
        <w:tc>
          <w:tcPr>
            <w:tcW w:type="dxa" w:w="122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 / 是</w:t>
            </w:r>
          </w:p>
        </w:tc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本维莫德相关 ClinicalTrials.gov 临床研究更新（NCT07265479）</w:t>
            </w:r>
          </w:p>
        </w:tc>
        <w:tc>
          <w:tcPr>
            <w:tcW w:type="dxa" w:w="30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ClinicalTrials.gov 研究：A Study to Investigate Safety and Efficacy of Tapinarof Cream,（详见网站明细）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外用非激素 AD/炎症性皮肤病竞品；建议查看研究设计、入排标准和终点，判断对爱宁达或同机制竞品监测的影响。</w:t>
            </w:r>
          </w:p>
        </w:tc>
      </w:tr>
    </w:tbl>
    <w:p>
      <w:pPr>
        <w:pStyle w:val="Heading1"/>
      </w:pPr>
      <w:r>
        <w:t>四、KOL/专家动态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15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29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936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16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专家/机构</w:t>
            </w:r>
          </w:p>
        </w:tc>
        <w:tc>
          <w:tcPr>
            <w:tcW w:type="dxa" w:w="2592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728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产品信息</w:t>
            </w:r>
          </w:p>
        </w:tc>
        <w:tc>
          <w:tcPr>
            <w:tcW w:type="dxa" w:w="324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内容概要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陈翔 / 中南大学湘雅医院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更正：牡荆素化合物 1 是一种从中草药中提取的新型提取物，通过增加 ROS 水平，通过 DNA 损伤来抑制黑色素瘤细胞的生长。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多烯磷脂酰胆碱 / polyene phosphatidylcholine</w:t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基于题名判断，文章主题为：更正：牡荆素化合物 1 是一种从中草药中提取的新型提取物，通过增加 ROS 水平，通过 DNA 损伤来抑制黑色素瘤细胞的生长。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李巍 / 复旦大学附属华山医院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华山医院李巍：守得云开见月明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专家相关内容：1992年，李巍在父母的建议下考入了第四军医大学（现空军军医大学）。 李巍团队系统关注了特应性皮炎的新亚型——老年特应性皮炎，整理了临床特征和生物学标志物，提出了诊断标准，牵头发布了老年特应性皮炎诊疗专家共识；（详见网站明细）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高兴华 / 中国医科大学附属第一医院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专家共识丨肿瘤治疗相关皮肤不良反应多学科管理中国专家共识（2026版）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专家相关内容：期待在未来随着高质量临床研究及真实世界研究的持续积累，能够引入证据分级体系，推动管理建议从“经验导向”向“循证导向”有序进阶 参与制订本共识的专家（按姓氏拼音排序） 学术顾问： 高兴华（中国医科大学附属第一医院皮肤科）、江泽飞（解放军总医院肿瘤医学部肿瘤科）、朱波（陆军军医大学新桥医院（详见网站明细）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王刚 / 空军军医大学西京医院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JAAD | (附原文) 邵帅教授、王刚教授团队明确难治性掌跖脓疱病患病现状与预测因素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专家相关内容：目前针对晚期系统治疗难治性掌跖脓疱病的流行情况、临床特点及高危预测因素，仍缺乏大样本真实世界研究数据支撑 近日，空军军医大学西京医院邵帅、王刚教授团队在《美国皮肤病学会杂志》（Journal of the American Academy of Dermatology，（详见网站明细）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王刚 / 空军军医大学西京医院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专家共识丨肿瘤治疗相关皮肤不良反应多学科管理中国专家共识（2026版）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专家相关内容：期待在未来随着高质量临床研究及真实世界研究的持续积累，能够引入证据分级体系，推动管理建议从“经验导向”向“循证导向”有序进阶 参与制订本共识的专家（按姓氏拼音排序） 学术顾问： 高兴华（中国医科大学附属第一医院皮肤科）、江泽飞（解放军总医院肿瘤医学部肿瘤科）、朱波（陆军军医大学新桥医院（详见网站明细）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2026-06-22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微信公众号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非会议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吴文育 / 复旦大学附属华山医院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华皮要闻 | 十五年再生路，华山医院皮肤科组织工程治疗白癜风成绩斐然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专家相关内容：2011年底，基于当时手术方式效率较低、对正常供皮区要求高的问题，为解决大面积顽固性白斑的复色治疗，华山医院皮肤科在徐金华主任、吴文育教授的主导下开始探索组织工程皮肤移植白癜风，并取得了良好的临床效果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2026-06-15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李春英 / 空军军医大学西京医院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高血糖通过琥珀酸/SUCNR1介导的T细胞激活加重白癜风。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研究主题：高血糖通过琥珀酸/SUCNR1介导的T细胞激活加重白癜风。摘要要点：白癜风是一种以色素脱失为特征的自身免疫性皮肤病，主要是由于 CD8+ T 细胞介导的黑素细胞破坏所致。高血糖会加剧自身免疫反应，并与白癜风有关；然而，人们对潜在的免疫代谢机制知之甚少。（详见网站明细）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2026-06-09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王刚 / 空军军医大学西京医院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接受 IL-23 抑制剂的银屑病或银屑病关节炎患者的新结核感染和结核再激活：系统文献综述。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研究主题：接受 IL-23 抑制剂的银屑病或银屑病关节炎患者的新结核感染和结核再激活：系统文献综述。摘要要点：生物制剂，包括白介素 23 (IL-23) 抑制剂 (IL-23is) guselkumab、risankizumab 和 tildrakizumab，（详见网站明细）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陈翔 / 中南大学湘雅医院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黑色素瘤免疫检查点阻断的见解：机制和临床转化。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研究主题：黑色素瘤免疫检查点阻断的见解：机制和临床转化。摘要要点：黑色素瘤是一种起源于黑色素细胞的恶性肿瘤，仅占所有皮肤癌的 4%，但却造成了 75% 的皮肤癌相关死亡。近年来，其发病率呈稳步上升趋势。靶向治疗和免疫疗法已取得重大进展，成为转移性黑色素瘤最有效的治疗方法。（详见网站明细）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2026-06-04</w:t>
            </w:r>
          </w:p>
        </w:tc>
        <w:tc>
          <w:tcPr>
            <w:tcW w:type="dxa" w:w="129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PubMed</w:t>
            </w:r>
          </w:p>
        </w:tc>
        <w:tc>
          <w:tcPr>
            <w:tcW w:type="dxa" w:w="936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论文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王刚 / 空军军医大学西京医院</w:t>
            </w:r>
          </w:p>
        </w:tc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细胞外囊泡衍生的 mir-148a-3p 通过 BACH2 抑制和 mTOR 激活促进大疱性类天疱疮中浆母细胞的分化。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</w:r>
          </w:p>
        </w:tc>
        <w:tc>
          <w:tcPr>
            <w:tcW w:type="dxa" w:w="324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研究主题：细胞外囊泡衍生的 mir-148a-3p 通过 BACH2 抑制和 mTOR 激活促进大疱性类天疱疮中浆母细胞的分化。摘要要点：大疱性类天疱疮 (BP) 是一种自身免疫性水疱性疾病，其特征是产生自身抗体；然而，调节浆细胞分化的分子机制仍不清楚。（详见网站明细）</w:t>
            </w:r>
          </w:p>
        </w:tc>
      </w:tr>
    </w:tbl>
    <w:p>
      <w:pPr>
        <w:pStyle w:val="Heading1"/>
      </w:pPr>
      <w:r>
        <w:t>五、涉及分子/靶点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7920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分子/靶点/通用名</w:t>
            </w:r>
          </w:p>
        </w:tc>
        <w:tc>
          <w:tcPr>
            <w:tcW w:type="dxa" w:w="1584"/>
            <w:vAlign w:val="top"/>
            <w:shd w:fill="0F766D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出现次数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Pimecrolimus / C43H68ClNO11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分子量和糖基化等取决于序列与生产工艺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40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度普利尤单抗 / dupilumab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18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乌帕替尼 / upadacitinib / C17H19F3N6O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17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鲁索替尼磷酸盐 / ruxolitinib phosphate / C17H21N6O4P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14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巴瑞替尼 / baricitinib / C16H17N7O2S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来布奇珠单抗 / lebrikizumab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10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奈莫利珠单抗 / nemolizumab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阿布昔替尼 / abrocitinib / C14H21N5O2S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6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本维莫德 / tapinarof / C17H18O2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罗氟司特 / roflumilast / C17H14Cl2F2N2O3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7920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曲洛利单抗 / tralokinumab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5</w:t>
            </w:r>
          </w:p>
        </w:tc>
      </w:tr>
    </w:tbl>
    <w:p>
      <w:pPr>
        <w:pStyle w:val="Heading1"/>
      </w:pPr>
      <w:r>
        <w:t>六、建议跟进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Clinical｜度普利尤单抗相关 ClinicalTrials.gov 临床研究更新（NCT04206553）：建议结合研究设计、入排标准、终点和安全性信息判断对本品医学沟通、竞品监测或风险沟通的影响。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Clinical｜来布奇珠单抗相关 ClinicalTrials.gov 临床研究更新（NCT06339008）：建议结合研究设计、入排标准、终点和安全性信息判断对本品医学沟通、竞品监测或风险沟通的影响。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Clinical｜来布奇珠单抗相关 ClinicalTrials.gov 临床研究更新（NCT06338995）：建议结合研究设计、入排标准、终点和安全性信息判断对本品医学沟通、竞品监测或风险沟通的影响。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Clinical｜罗氟司特相关 ClinicalTrials.gov 临床研究更新（NCT00242307）：建议结合研究设计、入排标准、终点和安全性信息判断对本品医学沟通、竞品监测或风险沟通的影响。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Clinical｜巴瑞替尼相关 ClinicalTrials.gov 临床研究更新（NCT07279688）：建议结合研究设计、入排标准、终点和安全性信息判断对本品医学沟通、竞品监测或风险沟通的影响。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专家侧建议优先核对高频专家/机构与产品线的关联，必要时补充会议报道原文和论文全文。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4F4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7222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84F4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