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084F49"/>
          <w:sz w:val="40"/>
        </w:rPr>
        <w:t>利加隆｜2026年6月关注报告</w:t>
      </w:r>
    </w:p>
    <w:p>
      <w:pPr>
        <w:jc w:val="center"/>
      </w:pPr>
      <w:r>
        <w:rPr>
          <w:rFonts w:ascii="Microsoft YaHei" w:hAnsi="Microsoft YaHei" w:eastAsia="微软雅黑"/>
          <w:color w:val="5F6F72"/>
          <w:sz w:val="19"/>
        </w:rPr>
        <w:t>数据范围：2026-06-01 至 2026-06-30｜来源：产品/竞品研究进展 + NKOL 微信/PubMed 明细</w:t>
      </w:r>
    </w:p>
    <w:p>
      <w:pPr>
        <w:spacing w:before="200" w:after="120"/>
      </w:pPr>
      <w:r>
        <w:rPr>
          <w:rFonts w:ascii="Microsoft YaHei" w:hAnsi="Microsoft YaHei" w:eastAsia="微软雅黑"/>
          <w:b/>
          <w:color w:val="0F766D"/>
          <w:sz w:val="28"/>
        </w:rPr>
        <w:t>管理层摘要</w:t>
      </w:r>
    </w:p>
    <w:p>
      <w:pPr>
        <w:spacing w:after="100" w:line="300" w:lineRule="auto"/>
      </w:pPr>
      <w:r>
        <w:rPr>
          <w:rFonts w:ascii="Microsoft YaHei" w:hAnsi="Microsoft YaHei" w:eastAsia="微软雅黑"/>
          <w:b/>
          <w:color w:val="173B3A"/>
          <w:sz w:val="23"/>
        </w:rPr>
        <w:t>6月利加隆的核心信号是：保肝支持治疗竞争仍在，但MASH/NASH疾病修饰治疗和胆汁淤积路径更新更值得前瞻关注，利加隆需要区分支持治疗和疾病修饰治疗边界。</w:t>
      </w:r>
    </w:p>
    <w:p>
      <w:pPr>
        <w:spacing w:after="60" w:line="293" w:lineRule="auto"/>
        <w:ind w:left="160"/>
      </w:pPr>
      <w:r>
        <w:rPr>
          <w:rFonts w:ascii="Microsoft YaHei" w:hAnsi="Microsoft YaHei" w:eastAsia="微软雅黑"/>
          <w:b w:val="0"/>
          <w:color w:val="253638"/>
          <w:sz w:val="21"/>
        </w:rPr>
        <w:t>发生了什么：本月纳入96条产品/竞品进展，23条建议跟进、12条高证据；PubMed最多，Clinical和万方补充了Rezdiffra、Ocaliva、美能、思美泰、优思弗等线索。</w:t>
      </w:r>
    </w:p>
    <w:p>
      <w:pPr>
        <w:spacing w:after="60" w:line="293" w:lineRule="auto"/>
        <w:ind w:left="160"/>
      </w:pPr>
      <w:r>
        <w:rPr>
          <w:rFonts w:ascii="Microsoft YaHei" w:hAnsi="Microsoft YaHei" w:eastAsia="微软雅黑"/>
          <w:b w:val="0"/>
          <w:color w:val="253638"/>
          <w:sz w:val="21"/>
        </w:rPr>
        <w:t>关注什么：优先关注Rezdiffra/瑞司美替罗、Ocaliva/奥贝胆酸、复方甘草酸苷、腺苷蛋氨酸、熊去氧胆酸，以及水飞蓟素/水飞蓟宾同成分证据。</w:t>
      </w:r>
    </w:p>
    <w:p>
      <w:pPr>
        <w:spacing w:after="60" w:line="293" w:lineRule="auto"/>
        <w:ind w:left="160"/>
      </w:pPr>
      <w:r>
        <w:rPr>
          <w:rFonts w:ascii="Microsoft YaHei" w:hAnsi="Microsoft YaHei" w:eastAsia="微软雅黑"/>
          <w:b w:val="0"/>
          <w:color w:val="253638"/>
          <w:sz w:val="21"/>
        </w:rPr>
        <w:t>为什么关注：MASH/NASH和胆汁淤积领域的疾病修饰疗法会拉开与传统保肝支持治疗的证据层级，中文文献则会影响本地医学沟通。</w:t>
      </w:r>
    </w:p>
    <w:p>
      <w:pPr>
        <w:spacing w:after="60" w:line="293" w:lineRule="auto"/>
        <w:ind w:left="160"/>
      </w:pPr>
      <w:r>
        <w:rPr>
          <w:rFonts w:ascii="Microsoft YaHei" w:hAnsi="Microsoft YaHei" w:eastAsia="微软雅黑"/>
          <w:b w:val="0"/>
          <w:color w:val="253638"/>
          <w:sz w:val="21"/>
        </w:rPr>
        <w:t>建议动作：按“同成分/直接竞品/机制竞品”重排利加隆竞品；单独追踪MASH/NASH疾病修饰疗法；把中文文献纳入医学问答和竞品监测。</w:t>
      </w:r>
    </w:p>
    <w:p>
      <w:pPr>
        <w:spacing w:after="40"/>
      </w:pPr>
    </w:p>
    <w:p>
      <w:pPr>
        <w:pStyle w:val="Heading1"/>
      </w:pPr>
      <w:r>
        <w:t>一、本月概览</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F766D"/>
          </w:tcPr>
          <w:p>
            <w:pPr>
              <w:spacing w:after="0"/>
            </w:pPr>
            <w:r/>
            <w:r>
              <w:rPr>
                <w:rFonts w:ascii="Microsoft YaHei" w:hAnsi="Microsoft YaHei" w:eastAsia="微软雅黑"/>
                <w:b/>
                <w:color w:val="FFFFFF"/>
                <w:sz w:val="18"/>
              </w:rPr>
              <w:t>指标</w:t>
            </w:r>
          </w:p>
        </w:tc>
        <w:tc>
          <w:tcPr>
            <w:tcW w:type="dxa" w:w="1728"/>
            <w:vAlign w:val="top"/>
            <w:shd w:fill="0F766D"/>
          </w:tcPr>
          <w:p>
            <w:pPr>
              <w:spacing w:after="0"/>
            </w:pPr>
            <w:r/>
            <w:r>
              <w:rPr>
                <w:rFonts w:ascii="Microsoft YaHei" w:hAnsi="Microsoft YaHei" w:eastAsia="微软雅黑"/>
                <w:b/>
                <w:color w:val="FFFFFF"/>
                <w:sz w:val="18"/>
              </w:rPr>
              <w:t>数量</w:t>
            </w:r>
          </w:p>
        </w:tc>
      </w:tr>
      <w:tr>
        <w:tc>
          <w:tcPr>
            <w:tcW w:type="dxa" w:w="2880"/>
            <w:vAlign w:val="top"/>
          </w:tcPr>
          <w:p>
            <w:pPr>
              <w:spacing w:after="0"/>
            </w:pPr>
            <w:r/>
            <w:r>
              <w:rPr>
                <w:rFonts w:ascii="Microsoft YaHei" w:hAnsi="Microsoft YaHei" w:eastAsia="微软雅黑"/>
                <w:b w:val="0"/>
                <w:sz w:val="18"/>
              </w:rPr>
              <w:t>产品/竞品进展</w:t>
            </w:r>
          </w:p>
        </w:tc>
        <w:tc>
          <w:tcPr>
            <w:tcW w:type="dxa" w:w="1728"/>
            <w:vAlign w:val="top"/>
          </w:tcPr>
          <w:p>
            <w:pPr>
              <w:spacing w:after="0"/>
            </w:pPr>
            <w:r/>
            <w:r>
              <w:rPr>
                <w:rFonts w:ascii="Microsoft YaHei" w:hAnsi="Microsoft YaHei" w:eastAsia="微软雅黑"/>
                <w:b w:val="0"/>
                <w:sz w:val="18"/>
              </w:rPr>
              <w:t>96</w:t>
            </w:r>
          </w:p>
        </w:tc>
      </w:tr>
      <w:tr>
        <w:tc>
          <w:tcPr>
            <w:tcW w:type="dxa" w:w="2880"/>
            <w:vAlign w:val="top"/>
          </w:tcPr>
          <w:p>
            <w:pPr>
              <w:spacing w:after="0"/>
            </w:pPr>
            <w:r/>
            <w:r>
              <w:rPr>
                <w:rFonts w:ascii="Microsoft YaHei" w:hAnsi="Microsoft YaHei" w:eastAsia="微软雅黑"/>
                <w:b w:val="0"/>
                <w:sz w:val="18"/>
              </w:rPr>
              <w:t>建议跟进</w:t>
            </w:r>
          </w:p>
        </w:tc>
        <w:tc>
          <w:tcPr>
            <w:tcW w:type="dxa" w:w="1728"/>
            <w:vAlign w:val="top"/>
          </w:tcPr>
          <w:p>
            <w:pPr>
              <w:spacing w:after="0"/>
            </w:pPr>
            <w:r/>
            <w:r>
              <w:rPr>
                <w:rFonts w:ascii="Microsoft YaHei" w:hAnsi="Microsoft YaHei" w:eastAsia="微软雅黑"/>
                <w:b w:val="0"/>
                <w:sz w:val="18"/>
              </w:rPr>
              <w:t>23</w:t>
            </w:r>
          </w:p>
        </w:tc>
      </w:tr>
      <w:tr>
        <w:tc>
          <w:tcPr>
            <w:tcW w:type="dxa" w:w="2880"/>
            <w:vAlign w:val="top"/>
          </w:tcPr>
          <w:p>
            <w:pPr>
              <w:spacing w:after="0"/>
            </w:pPr>
            <w:r/>
            <w:r>
              <w:rPr>
                <w:rFonts w:ascii="Microsoft YaHei" w:hAnsi="Microsoft YaHei" w:eastAsia="微软雅黑"/>
                <w:b w:val="0"/>
                <w:sz w:val="18"/>
              </w:rPr>
              <w:t>高证据</w:t>
            </w:r>
          </w:p>
        </w:tc>
        <w:tc>
          <w:tcPr>
            <w:tcW w:type="dxa" w:w="1728"/>
            <w:vAlign w:val="top"/>
          </w:tcPr>
          <w:p>
            <w:pPr>
              <w:spacing w:after="0"/>
            </w:pPr>
            <w:r/>
            <w:r>
              <w:rPr>
                <w:rFonts w:ascii="Microsoft YaHei" w:hAnsi="Microsoft YaHei" w:eastAsia="微软雅黑"/>
                <w:b w:val="0"/>
                <w:sz w:val="18"/>
              </w:rPr>
              <w:t>12</w:t>
            </w:r>
          </w:p>
        </w:tc>
      </w:tr>
      <w:tr>
        <w:tc>
          <w:tcPr>
            <w:tcW w:type="dxa" w:w="2880"/>
            <w:vAlign w:val="top"/>
          </w:tcPr>
          <w:p>
            <w:pPr>
              <w:spacing w:after="0"/>
            </w:pPr>
            <w:r/>
            <w:r>
              <w:rPr>
                <w:rFonts w:ascii="Microsoft YaHei" w:hAnsi="Microsoft YaHei" w:eastAsia="微软雅黑"/>
                <w:b w:val="0"/>
                <w:sz w:val="18"/>
              </w:rPr>
              <w:t>KOL/专家记录</w:t>
            </w:r>
          </w:p>
        </w:tc>
        <w:tc>
          <w:tcPr>
            <w:tcW w:type="dxa" w:w="1728"/>
            <w:vAlign w:val="top"/>
          </w:tcPr>
          <w:p>
            <w:pPr>
              <w:spacing w:after="0"/>
            </w:pPr>
            <w:r/>
            <w:r>
              <w:rPr>
                <w:rFonts w:ascii="Microsoft YaHei" w:hAnsi="Microsoft YaHei" w:eastAsia="微软雅黑"/>
                <w:b w:val="0"/>
                <w:sz w:val="18"/>
              </w:rPr>
              <w:t>5</w:t>
            </w:r>
          </w:p>
        </w:tc>
      </w:tr>
      <w:tr>
        <w:tc>
          <w:tcPr>
            <w:tcW w:type="dxa" w:w="2880"/>
            <w:vAlign w:val="top"/>
          </w:tcPr>
          <w:p>
            <w:pPr>
              <w:spacing w:after="0"/>
            </w:pPr>
            <w:r/>
            <w:r>
              <w:rPr>
                <w:rFonts w:ascii="Microsoft YaHei" w:hAnsi="Microsoft YaHei" w:eastAsia="微软雅黑"/>
                <w:b w:val="0"/>
                <w:sz w:val="18"/>
              </w:rPr>
              <w:t>涉及专家</w:t>
            </w:r>
          </w:p>
        </w:tc>
        <w:tc>
          <w:tcPr>
            <w:tcW w:type="dxa" w:w="1728"/>
            <w:vAlign w:val="top"/>
          </w:tcPr>
          <w:p>
            <w:pPr>
              <w:spacing w:after="0"/>
            </w:pPr>
            <w:r/>
            <w:r>
              <w:rPr>
                <w:rFonts w:ascii="Microsoft YaHei" w:hAnsi="Microsoft YaHei" w:eastAsia="微软雅黑"/>
                <w:b w:val="0"/>
                <w:sz w:val="18"/>
              </w:rPr>
              <w:t>5</w:t>
            </w:r>
          </w:p>
        </w:tc>
      </w:tr>
      <w:tr>
        <w:tc>
          <w:tcPr>
            <w:tcW w:type="dxa" w:w="2880"/>
            <w:vAlign w:val="top"/>
          </w:tcPr>
          <w:p>
            <w:pPr>
              <w:spacing w:after="0"/>
            </w:pPr>
            <w:r/>
            <w:r>
              <w:rPr>
                <w:rFonts w:ascii="Microsoft YaHei" w:hAnsi="Microsoft YaHei" w:eastAsia="微软雅黑"/>
                <w:b w:val="0"/>
                <w:sz w:val="18"/>
              </w:rPr>
              <w:t>涉及机构</w:t>
            </w:r>
          </w:p>
        </w:tc>
        <w:tc>
          <w:tcPr>
            <w:tcW w:type="dxa" w:w="1728"/>
            <w:vAlign w:val="top"/>
          </w:tcPr>
          <w:p>
            <w:pPr>
              <w:spacing w:after="0"/>
            </w:pPr>
            <w:r/>
            <w:r>
              <w:rPr>
                <w:rFonts w:ascii="Microsoft YaHei" w:hAnsi="Microsoft YaHei" w:eastAsia="微软雅黑"/>
                <w:b w:val="0"/>
                <w:sz w:val="18"/>
              </w:rPr>
              <w:t>5</w:t>
            </w:r>
          </w:p>
        </w:tc>
      </w:tr>
    </w:tbl>
    <w:p>
      <w:pPr>
        <w:pStyle w:val="Heading1"/>
      </w:pPr>
      <w:r>
        <w:t>二、本月结论</w:t>
      </w:r>
    </w:p>
    <w:p>
      <w:pPr>
        <w:pStyle w:val="ListBullet"/>
      </w:pPr>
      <w:r>
        <w:rPr>
          <w:rFonts w:ascii="Microsoft YaHei" w:hAnsi="Microsoft YaHei" w:eastAsia="微软雅黑"/>
          <w:sz w:val="21"/>
        </w:rPr>
        <w:t>6月共纳入 96 条产品/竞品研究进展，其中 23 条建议跟进，12 条为高证据。</w:t>
      </w:r>
    </w:p>
    <w:p>
      <w:pPr>
        <w:pStyle w:val="ListBullet"/>
      </w:pPr>
      <w:r>
        <w:rPr>
          <w:rFonts w:ascii="Microsoft YaHei" w:hAnsi="Microsoft YaHei" w:eastAsia="微软雅黑"/>
          <w:sz w:val="21"/>
        </w:rPr>
        <w:t>产品进展主要来源于：PubMed 83条；Clinical 7条；万方 6条。</w:t>
      </w:r>
    </w:p>
    <w:p>
      <w:pPr>
        <w:pStyle w:val="ListBullet"/>
      </w:pPr>
      <w:r>
        <w:rPr>
          <w:rFonts w:ascii="Microsoft YaHei" w:hAnsi="Microsoft YaHei" w:eastAsia="微软雅黑"/>
          <w:sz w:val="21"/>
        </w:rPr>
        <w:t>本月关注口径集中在：直接竞品；谷胱甘肽；潜在竞品；Ozempic/Wegovy 同类；直接竞品；乙酰半胱氨酸；本品/同成分；利加隆/Legalon。</w:t>
      </w:r>
    </w:p>
    <w:p>
      <w:pPr>
        <w:pStyle w:val="ListBullet"/>
      </w:pPr>
      <w:r>
        <w:rPr>
          <w:rFonts w:ascii="Microsoft YaHei" w:hAnsi="Microsoft YaHei" w:eastAsia="微软雅黑"/>
          <w:sz w:val="21"/>
        </w:rPr>
        <w:t>KOL/专家侧共 5 条记录，涉及 5 位专家、5 家机构；来源构成为：PubMed 4条；微信公众号 1条。</w:t>
      </w:r>
    </w:p>
    <w:p>
      <w:pPr>
        <w:pStyle w:val="ListBullet"/>
      </w:pPr>
      <w:r>
        <w:rPr>
          <w:rFonts w:ascii="Microsoft YaHei" w:hAnsi="Microsoft YaHei" w:eastAsia="微软雅黑"/>
          <w:sz w:val="21"/>
        </w:rPr>
        <w:t>涉及分子/靶点高频出现：Silymarin mixture；representative silybin / C25H22O10；还原型谷胱甘肽 / glutathione / C10H17N3O6S；司美格鲁肽 / semaglutide / C187H291N45O59；乙酰半胱氨酸 / acetylcysteine / C5H9NO3S；水飞蓟素/水飞蓟宾代表成分 / silymarin / silybin / C25H22O10。</w:t>
      </w:r>
    </w:p>
    <w:p>
      <w:pPr>
        <w:pStyle w:val="Heading1"/>
      </w:pPr>
      <w:r>
        <w:t>三、重点关注事项</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080"/>
            <w:vAlign w:val="top"/>
            <w:shd w:fill="0F766D"/>
          </w:tcPr>
          <w:p>
            <w:pPr>
              <w:spacing w:after="0"/>
            </w:pPr>
            <w:r/>
            <w:r>
              <w:rPr>
                <w:rFonts w:ascii="Microsoft YaHei" w:hAnsi="Microsoft YaHei" w:eastAsia="微软雅黑"/>
                <w:b/>
                <w:color w:val="FFFFFF"/>
                <w:sz w:val="18"/>
              </w:rPr>
              <w:t>来源</w:t>
            </w:r>
          </w:p>
        </w:tc>
        <w:tc>
          <w:tcPr>
            <w:tcW w:type="dxa" w:w="1944"/>
            <w:vAlign w:val="top"/>
            <w:shd w:fill="0F766D"/>
          </w:tcPr>
          <w:p>
            <w:pPr>
              <w:spacing w:after="0"/>
            </w:pPr>
            <w:r/>
            <w:r>
              <w:rPr>
                <w:rFonts w:ascii="Microsoft YaHei" w:hAnsi="Microsoft YaHei" w:eastAsia="微软雅黑"/>
                <w:b/>
                <w:color w:val="FFFFFF"/>
                <w:sz w:val="18"/>
              </w:rPr>
              <w:t>产品/竞品口径</w:t>
            </w:r>
          </w:p>
        </w:tc>
        <w:tc>
          <w:tcPr>
            <w:tcW w:type="dxa" w:w="1224"/>
            <w:vAlign w:val="top"/>
            <w:shd w:fill="0F766D"/>
          </w:tcPr>
          <w:p>
            <w:pPr>
              <w:spacing w:after="0"/>
            </w:pPr>
            <w:r/>
            <w:r>
              <w:rPr>
                <w:rFonts w:ascii="Microsoft YaHei" w:hAnsi="Microsoft YaHei" w:eastAsia="微软雅黑"/>
                <w:b/>
                <w:color w:val="FFFFFF"/>
                <w:sz w:val="18"/>
              </w:rPr>
              <w:t>证据/跟进</w:t>
            </w:r>
          </w:p>
        </w:tc>
        <w:tc>
          <w:tcPr>
            <w:tcW w:type="dxa" w:w="2448"/>
            <w:vAlign w:val="top"/>
            <w:shd w:fill="0F766D"/>
          </w:tcPr>
          <w:p>
            <w:pPr>
              <w:spacing w:after="0"/>
            </w:pPr>
            <w:r/>
            <w:r>
              <w:rPr>
                <w:rFonts w:ascii="Microsoft YaHei" w:hAnsi="Microsoft YaHei" w:eastAsia="微软雅黑"/>
                <w:b/>
                <w:color w:val="FFFFFF"/>
                <w:sz w:val="18"/>
              </w:rPr>
              <w:t>标题/事件</w:t>
            </w:r>
          </w:p>
        </w:tc>
        <w:tc>
          <w:tcPr>
            <w:tcW w:type="dxa" w:w="3096"/>
            <w:vAlign w:val="top"/>
            <w:shd w:fill="0F766D"/>
          </w:tcPr>
          <w:p>
            <w:pPr>
              <w:spacing w:after="0"/>
            </w:pPr>
            <w:r/>
            <w:r>
              <w:rPr>
                <w:rFonts w:ascii="Microsoft YaHei" w:hAnsi="Microsoft YaHei" w:eastAsia="微软雅黑"/>
                <w:b/>
                <w:color w:val="FFFFFF"/>
                <w:sz w:val="18"/>
              </w:rPr>
              <w:t>核心内容摘要</w:t>
            </w:r>
          </w:p>
        </w:tc>
        <w:tc>
          <w:tcPr>
            <w:tcW w:type="dxa" w:w="2160"/>
            <w:vAlign w:val="top"/>
            <w:shd w:fill="0F766D"/>
          </w:tcPr>
          <w:p>
            <w:pPr>
              <w:spacing w:after="0"/>
            </w:pPr>
            <w:r/>
            <w:r>
              <w:rPr>
                <w:rFonts w:ascii="Microsoft YaHei" w:hAnsi="Microsoft YaHei" w:eastAsia="微软雅黑"/>
                <w:b/>
                <w:color w:val="FFFFFF"/>
                <w:sz w:val="18"/>
              </w:rPr>
              <w:t>影响判断</w:t>
            </w:r>
          </w:p>
        </w:tc>
      </w:tr>
      <w:tr>
        <w:tc>
          <w:tcPr>
            <w:tcW w:type="dxa" w:w="1152"/>
            <w:vAlign w:val="top"/>
          </w:tcPr>
          <w:p>
            <w:pPr>
              <w:spacing w:after="0"/>
            </w:pPr>
            <w:r/>
            <w:r>
              <w:rPr>
                <w:rFonts w:ascii="Microsoft YaHei" w:hAnsi="Microsoft YaHei" w:eastAsia="微软雅黑"/>
                <w:b w:val="0"/>
                <w:sz w:val="18"/>
              </w:rPr>
              <w:t>2026-06-08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潜在竞品；Ocaliva</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奥贝胆酸相关 ClinicalTrials.gov 临床研究更新（NCT06488911）</w:t>
            </w:r>
          </w:p>
        </w:tc>
        <w:tc>
          <w:tcPr>
            <w:tcW w:type="dxa" w:w="3096"/>
            <w:vAlign w:val="top"/>
          </w:tcPr>
          <w:p>
            <w:pPr>
              <w:spacing w:after="0"/>
            </w:pPr>
            <w:r/>
            <w:r>
              <w:rPr>
                <w:rFonts w:ascii="Microsoft YaHei" w:hAnsi="Microsoft YaHei" w:eastAsia="微软雅黑"/>
                <w:b w:val="0"/>
                <w:sz w:val="18"/>
              </w:rPr>
              <w:t>ClinicalTrials.gov 研究：To Evaluate Safety and Tolerability of the Fixed- Dose Combination of Obeticholic Acid and Bezafibrate；NCT：NCT06488911；（详见网站明细）</w:t>
            </w:r>
          </w:p>
        </w:tc>
        <w:tc>
          <w:tcPr>
            <w:tcW w:type="dxa" w:w="2160"/>
            <w:vAlign w:val="top"/>
          </w:tcPr>
          <w:p>
            <w:pPr>
              <w:spacing w:after="0"/>
            </w:pPr>
            <w:r/>
            <w:r>
              <w:rPr>
                <w:rFonts w:ascii="Microsoft YaHei" w:hAnsi="Microsoft YaHei" w:eastAsia="微软雅黑"/>
                <w:b w:val="0"/>
                <w:sz w:val="18"/>
              </w:rPr>
              <w:t>胆汁淤积和 NASH/MASH 管线参照；建议查看研究设计、入排标准和终点，判断对利加隆或同机制竞品监测的影响。</w:t>
            </w:r>
          </w:p>
        </w:tc>
      </w:tr>
      <w:tr>
        <w:tc>
          <w:tcPr>
            <w:tcW w:type="dxa" w:w="1152"/>
            <w:vAlign w:val="top"/>
          </w:tcPr>
          <w:p>
            <w:pPr>
              <w:spacing w:after="0"/>
            </w:pPr>
            <w:r/>
            <w:r>
              <w:rPr>
                <w:rFonts w:ascii="Microsoft YaHei" w:hAnsi="Microsoft YaHei" w:eastAsia="微软雅黑"/>
                <w:b w:val="0"/>
                <w:sz w:val="18"/>
              </w:rPr>
              <w:t>2026-06-02</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潜在竞品；Rezdiffra</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瑞司美替罗相关 ClinicalTrials.gov 临床研究更新（NCT05500222）</w:t>
            </w:r>
          </w:p>
        </w:tc>
        <w:tc>
          <w:tcPr>
            <w:tcW w:type="dxa" w:w="3096"/>
            <w:vAlign w:val="top"/>
          </w:tcPr>
          <w:p>
            <w:pPr>
              <w:spacing w:after="0"/>
            </w:pPr>
            <w:r/>
            <w:r>
              <w:rPr>
                <w:rFonts w:ascii="Microsoft YaHei" w:hAnsi="Microsoft YaHei" w:eastAsia="微软雅黑"/>
                <w:b w:val="0"/>
                <w:sz w:val="18"/>
              </w:rPr>
              <w:t>ClinicalTrials.gov 研究：A 3期 Study to Evaluate the Effect of Resmetirom on Clinical Outcomes in Patients With Well-compensated NASH Cirrhosis (MAESTRO-N（详见网站明细）</w:t>
            </w:r>
          </w:p>
        </w:tc>
        <w:tc>
          <w:tcPr>
            <w:tcW w:type="dxa" w:w="2160"/>
            <w:vAlign w:val="top"/>
          </w:tcPr>
          <w:p>
            <w:pPr>
              <w:spacing w:after="0"/>
            </w:pPr>
            <w:r/>
            <w:r>
              <w:rPr>
                <w:rFonts w:ascii="Microsoft YaHei" w:hAnsi="Microsoft YaHei" w:eastAsia="微软雅黑"/>
                <w:b w:val="0"/>
                <w:sz w:val="18"/>
              </w:rPr>
              <w:t>MASH/NASH 疾病修饰治疗；建议查看研究设计、入排标准和终点，判断对利加隆或同机制竞品监测的影响。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间接竞品；美能</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复方甘草酸苷相关 ClinicalTrials.gov 临床研究更新（NCT07616271）</w:t>
            </w:r>
          </w:p>
        </w:tc>
        <w:tc>
          <w:tcPr>
            <w:tcW w:type="dxa" w:w="3096"/>
            <w:vAlign w:val="top"/>
          </w:tcPr>
          <w:p>
            <w:pPr>
              <w:spacing w:after="0"/>
            </w:pPr>
            <w:r/>
            <w:r>
              <w:rPr>
                <w:rFonts w:ascii="Microsoft YaHei" w:hAnsi="Microsoft YaHei" w:eastAsia="微软雅黑"/>
                <w:b w:val="0"/>
                <w:sz w:val="18"/>
              </w:rPr>
              <w:t>ClinicalTrials.gov 研究：Study on the Effect of Oral Diammonium Glycyrrhizinate in Attenuating Toxicity and Enhancing Efficacy of CAR-T Cell Therapy；（详见网站明细）</w:t>
            </w:r>
          </w:p>
        </w:tc>
        <w:tc>
          <w:tcPr>
            <w:tcW w:type="dxa" w:w="2160"/>
            <w:vAlign w:val="top"/>
          </w:tcPr>
          <w:p>
            <w:pPr>
              <w:spacing w:after="0"/>
            </w:pPr>
            <w:r/>
            <w:r>
              <w:rPr>
                <w:rFonts w:ascii="Microsoft YaHei" w:hAnsi="Microsoft YaHei" w:eastAsia="微软雅黑"/>
                <w:b w:val="0"/>
                <w:sz w:val="18"/>
              </w:rPr>
              <w:t>抗炎保肝间接竞品；建议查看研究设计、入排标准和终点，判断对利加隆或同机制竞品监测的影响。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潜在竞品；Rezdiffra</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瑞司美替罗相关 ClinicalTrials.gov 临床研究更新（NCT03900429）</w:t>
            </w:r>
          </w:p>
        </w:tc>
        <w:tc>
          <w:tcPr>
            <w:tcW w:type="dxa" w:w="3096"/>
            <w:vAlign w:val="top"/>
          </w:tcPr>
          <w:p>
            <w:pPr>
              <w:spacing w:after="0"/>
            </w:pPr>
            <w:r/>
            <w:r>
              <w:rPr>
                <w:rFonts w:ascii="Microsoft YaHei" w:hAnsi="Microsoft YaHei" w:eastAsia="微软雅黑"/>
                <w:b w:val="0"/>
                <w:sz w:val="18"/>
              </w:rPr>
              <w:t>ClinicalTrials.gov 研究：A 3期 Study to Evaluate the Efficacy and Safety of MGL-3196 (Resmetirom) in Patients With NASH and Fibrosis；NCT：NCT03900429；（详见网站明细）</w:t>
            </w:r>
          </w:p>
        </w:tc>
        <w:tc>
          <w:tcPr>
            <w:tcW w:type="dxa" w:w="2160"/>
            <w:vAlign w:val="top"/>
          </w:tcPr>
          <w:p>
            <w:pPr>
              <w:spacing w:after="0"/>
            </w:pPr>
            <w:r/>
            <w:r>
              <w:rPr>
                <w:rFonts w:ascii="Microsoft YaHei" w:hAnsi="Microsoft YaHei" w:eastAsia="微软雅黑"/>
                <w:b w:val="0"/>
                <w:sz w:val="18"/>
              </w:rPr>
              <w:t>MASH/NASH 疾病修饰治疗；建议查看研究设计、入排标准和终点，判断对利加隆或同机制竞品监测的影响。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万方</w:t>
            </w:r>
          </w:p>
        </w:tc>
        <w:tc>
          <w:tcPr>
            <w:tcW w:type="dxa" w:w="1944"/>
            <w:vAlign w:val="top"/>
          </w:tcPr>
          <w:p>
            <w:pPr>
              <w:spacing w:after="0"/>
            </w:pPr>
            <w:r/>
            <w:r>
              <w:rPr>
                <w:rFonts w:ascii="Microsoft YaHei" w:hAnsi="Microsoft YaHei" w:eastAsia="微软雅黑"/>
                <w:b w:val="0"/>
                <w:sz w:val="18"/>
              </w:rPr>
              <w:t>直接竞品；思美泰</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腺苷蛋氨酸相关万方中文文献发布</w:t>
            </w:r>
          </w:p>
        </w:tc>
        <w:tc>
          <w:tcPr>
            <w:tcW w:type="dxa" w:w="3096"/>
            <w:vAlign w:val="top"/>
          </w:tcPr>
          <w:p>
            <w:pPr>
              <w:spacing w:after="0"/>
            </w:pPr>
            <w:r/>
            <w:r>
              <w:rPr>
                <w:rFonts w:ascii="Microsoft YaHei" w:hAnsi="Microsoft YaHei" w:eastAsia="微软雅黑"/>
                <w:b w:val="0"/>
                <w:sz w:val="18"/>
              </w:rPr>
              <w:t>题名：恩替卡韦联合丁二磺酸腺苷蛋氨酸治疗乙型肝炎病毒相关肝硬化的临床疗效及对肝功能、肝纤维化指标的影响研究；来源：中国现代药物应用；作者：刘婷；关键词：恩替卡韦丁二磺酸腺苷蛋氨酸乙型肝炎病毒相关肝硬化肝功能肝纤维化；检索词：腺苷蛋氨酸；发表时间：2026-06-01。（详见网站明细）</w:t>
            </w:r>
          </w:p>
        </w:tc>
        <w:tc>
          <w:tcPr>
            <w:tcW w:type="dxa" w:w="2160"/>
            <w:vAlign w:val="top"/>
          </w:tcPr>
          <w:p>
            <w:pPr>
              <w:spacing w:after="0"/>
            </w:pPr>
            <w:r/>
            <w:r>
              <w:rPr>
                <w:rFonts w:ascii="Microsoft YaHei" w:hAnsi="Microsoft YaHei" w:eastAsia="微软雅黑"/>
                <w:b w:val="0"/>
                <w:sz w:val="18"/>
              </w:rPr>
              <w:t>肝病支持治疗替代；作为中文文献补充，建议评估该研究对利加隆医学信息、中文证据沟通或竞品监测的影响。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万方</w:t>
            </w:r>
          </w:p>
        </w:tc>
        <w:tc>
          <w:tcPr>
            <w:tcW w:type="dxa" w:w="1944"/>
            <w:vAlign w:val="top"/>
          </w:tcPr>
          <w:p>
            <w:pPr>
              <w:spacing w:after="0"/>
            </w:pPr>
            <w:r/>
            <w:r>
              <w:rPr>
                <w:rFonts w:ascii="Microsoft YaHei" w:hAnsi="Microsoft YaHei" w:eastAsia="微软雅黑"/>
                <w:b w:val="0"/>
                <w:sz w:val="18"/>
              </w:rPr>
              <w:t>直接竞品；优思弗</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熊去氧胆酸相关万方中文文献发布</w:t>
            </w:r>
          </w:p>
        </w:tc>
        <w:tc>
          <w:tcPr>
            <w:tcW w:type="dxa" w:w="3096"/>
            <w:vAlign w:val="top"/>
          </w:tcPr>
          <w:p>
            <w:pPr>
              <w:spacing w:after="0"/>
            </w:pPr>
            <w:r/>
            <w:r>
              <w:rPr>
                <w:rFonts w:ascii="Microsoft YaHei" w:hAnsi="Microsoft YaHei" w:eastAsia="微软雅黑"/>
                <w:b w:val="0"/>
                <w:sz w:val="18"/>
              </w:rPr>
              <w:t>题名：熊胆粉及熊去氧胆酸调控免疫性血小板减少症模型小鼠Ly6Chigh单核细胞迁移的机制研究；来源：中医药学报；作者：韩家辉卓兰李睿祯等；关键词：熊胆粉熊去氧胆酸免疫性血小板减少症CCL2-CCR2Ly6Chigh单核细胞迁移；检索词：熊去氧胆酸；发表时间：2026-06-01。（详见网站明细）</w:t>
            </w:r>
          </w:p>
        </w:tc>
        <w:tc>
          <w:tcPr>
            <w:tcW w:type="dxa" w:w="2160"/>
            <w:vAlign w:val="top"/>
          </w:tcPr>
          <w:p>
            <w:pPr>
              <w:spacing w:after="0"/>
            </w:pPr>
            <w:r/>
            <w:r>
              <w:rPr>
                <w:rFonts w:ascii="Microsoft YaHei" w:hAnsi="Microsoft YaHei" w:eastAsia="微软雅黑"/>
                <w:b w:val="0"/>
                <w:sz w:val="18"/>
              </w:rPr>
              <w:t>胆汁淤积和肝胆疾病替代；作为中文文献补充，建议评估该研究对利加隆医学信息、中文证据沟通或竞品监测的影响。</w:t>
            </w:r>
          </w:p>
        </w:tc>
      </w:tr>
      <w:tr>
        <w:tc>
          <w:tcPr>
            <w:tcW w:type="dxa" w:w="1152"/>
            <w:vAlign w:val="top"/>
          </w:tcPr>
          <w:p>
            <w:pPr>
              <w:spacing w:after="0"/>
            </w:pPr>
            <w:r/>
            <w:r>
              <w:rPr>
                <w:rFonts w:ascii="Microsoft YaHei" w:hAnsi="Microsoft YaHei" w:eastAsia="微软雅黑"/>
                <w:b w:val="0"/>
                <w:sz w:val="18"/>
              </w:rPr>
              <w:t>2026-06-18</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潜在竞品；Ozempic/Wegovy 同类</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司美格鲁肽相关 PubMed 论文发布（PMID 42316327）</w:t>
            </w:r>
          </w:p>
        </w:tc>
        <w:tc>
          <w:tcPr>
            <w:tcW w:type="dxa" w:w="3096"/>
            <w:vAlign w:val="top"/>
          </w:tcPr>
          <w:p>
            <w:pPr>
              <w:spacing w:after="0"/>
            </w:pPr>
            <w:r/>
            <w:r>
              <w:rPr>
                <w:rFonts w:ascii="Microsoft YaHei" w:hAnsi="Microsoft YaHei" w:eastAsia="微软雅黑"/>
                <w:b w:val="0"/>
                <w:sz w:val="18"/>
              </w:rPr>
              <w:t>系统综述/荟萃分析：Ozempic/Wegovy 同类（潜在竞品）相关更新，聚焦“既有证据汇总和比较”。对利加隆的跟踪意义：代谢相关脂肪性肝病外溢竞争。优先阅读原文方法和结论，判断是否形成可引用证据。</w:t>
            </w:r>
          </w:p>
        </w:tc>
        <w:tc>
          <w:tcPr>
            <w:tcW w:type="dxa" w:w="2160"/>
            <w:vAlign w:val="top"/>
          </w:tcPr>
          <w:p>
            <w:pPr>
              <w:spacing w:after="0"/>
            </w:pPr>
            <w:r/>
            <w:r>
              <w:rPr>
                <w:rFonts w:ascii="Microsoft YaHei" w:hAnsi="Microsoft YaHei" w:eastAsia="微软雅黑"/>
                <w:b w:val="0"/>
                <w:sz w:val="18"/>
              </w:rPr>
              <w:t>代谢相关脂肪性肝病外溢竞争；建议评估该更新对利加隆相关医学信息、竞品监测或风险沟通的影响。</w:t>
            </w:r>
          </w:p>
        </w:tc>
      </w:tr>
      <w:tr>
        <w:tc>
          <w:tcPr>
            <w:tcW w:type="dxa" w:w="1152"/>
            <w:vAlign w:val="top"/>
          </w:tcPr>
          <w:p>
            <w:pPr>
              <w:spacing w:after="0"/>
            </w:pPr>
            <w:r/>
            <w:r>
              <w:rPr>
                <w:rFonts w:ascii="Microsoft YaHei" w:hAnsi="Microsoft YaHei" w:eastAsia="微软雅黑"/>
                <w:b w:val="0"/>
                <w:sz w:val="18"/>
              </w:rPr>
              <w:t>2026-06-17</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直接竞品；乙酰半胱氨酸</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乙酰半胱氨酸相关 PubMed 论文发布（PMID 42308185）</w:t>
            </w:r>
          </w:p>
        </w:tc>
        <w:tc>
          <w:tcPr>
            <w:tcW w:type="dxa" w:w="3096"/>
            <w:vAlign w:val="top"/>
          </w:tcPr>
          <w:p>
            <w:pPr>
              <w:spacing w:after="0"/>
            </w:pPr>
            <w:r/>
            <w:r>
              <w:rPr>
                <w:rFonts w:ascii="Microsoft YaHei" w:hAnsi="Microsoft YaHei" w:eastAsia="微软雅黑"/>
                <w:b w:val="0"/>
                <w:sz w:val="18"/>
              </w:rPr>
              <w:t>临床研究：乙酰半胱氨酸（直接竞品）相关更新，聚焦“临床疗效和安全性”。对利加隆的跟踪意义：药物性肝损伤等场景。优先阅读原文方法和结论，判断是否形成可引用证据。</w:t>
            </w:r>
          </w:p>
        </w:tc>
        <w:tc>
          <w:tcPr>
            <w:tcW w:type="dxa" w:w="2160"/>
            <w:vAlign w:val="top"/>
          </w:tcPr>
          <w:p>
            <w:pPr>
              <w:spacing w:after="0"/>
            </w:pPr>
            <w:r/>
            <w:r>
              <w:rPr>
                <w:rFonts w:ascii="Microsoft YaHei" w:hAnsi="Microsoft YaHei" w:eastAsia="微软雅黑"/>
                <w:b w:val="0"/>
                <w:sz w:val="18"/>
              </w:rPr>
              <w:t>药物性肝损伤等场景；建议评估该更新对利加隆相关医学信息、竞品监测或风险沟通的影响。</w:t>
            </w:r>
          </w:p>
        </w:tc>
      </w:tr>
      <w:tr>
        <w:tc>
          <w:tcPr>
            <w:tcW w:type="dxa" w:w="1152"/>
            <w:vAlign w:val="top"/>
          </w:tcPr>
          <w:p>
            <w:pPr>
              <w:spacing w:after="0"/>
            </w:pPr>
            <w:r/>
            <w:r>
              <w:rPr>
                <w:rFonts w:ascii="Microsoft YaHei" w:hAnsi="Microsoft YaHei" w:eastAsia="微软雅黑"/>
                <w:b w:val="0"/>
                <w:sz w:val="18"/>
              </w:rPr>
              <w:t>2026-06-12</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潜在竞品；Ozempic/Wegovy 同类</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司美格鲁肽相关医学报道/安全性论文发布（PMID 42339050）</w:t>
            </w:r>
          </w:p>
        </w:tc>
        <w:tc>
          <w:tcPr>
            <w:tcW w:type="dxa" w:w="3096"/>
            <w:vAlign w:val="top"/>
          </w:tcPr>
          <w:p>
            <w:pPr>
              <w:spacing w:after="0"/>
            </w:pPr>
            <w:r/>
            <w:r>
              <w:rPr>
                <w:rFonts w:ascii="Microsoft YaHei" w:hAnsi="Microsoft YaHei" w:eastAsia="微软雅黑"/>
                <w:b w:val="0"/>
                <w:sz w:val="18"/>
              </w:rPr>
              <w:t>系统综述/荟萃分析：Ozempic/Wegovy 同类（潜在竞品）相关更新，聚焦“安全性和不良反应”。对利加隆的跟踪意义：代谢相关脂肪性肝病外溢竞争。优先阅读原文方法和结论，判断是否形成可引用证据。</w:t>
            </w:r>
          </w:p>
        </w:tc>
        <w:tc>
          <w:tcPr>
            <w:tcW w:type="dxa" w:w="2160"/>
            <w:vAlign w:val="top"/>
          </w:tcPr>
          <w:p>
            <w:pPr>
              <w:spacing w:after="0"/>
            </w:pPr>
            <w:r/>
            <w:r>
              <w:rPr>
                <w:rFonts w:ascii="Microsoft YaHei" w:hAnsi="Microsoft YaHei" w:eastAsia="微软雅黑"/>
                <w:b w:val="0"/>
                <w:sz w:val="18"/>
              </w:rPr>
              <w:t>代谢相关脂肪性肝病外溢竞争；建议评估该更新对利加隆相关医学信息、竞品监测或风险沟通的影响。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潜在竞品；Rezdiffra</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瑞司美替罗相关 PubMed 论文发布（PMID 41917519）</w:t>
            </w:r>
          </w:p>
        </w:tc>
        <w:tc>
          <w:tcPr>
            <w:tcW w:type="dxa" w:w="3096"/>
            <w:vAlign w:val="top"/>
          </w:tcPr>
          <w:p>
            <w:pPr>
              <w:spacing w:after="0"/>
            </w:pPr>
            <w:r/>
            <w:r>
              <w:rPr>
                <w:rFonts w:ascii="Microsoft YaHei" w:hAnsi="Microsoft YaHei" w:eastAsia="微软雅黑"/>
                <w:b w:val="0"/>
                <w:sz w:val="18"/>
              </w:rPr>
              <w:t>系统综述/荟萃分析：Rezdiffra（潜在竞品）相关更新，聚焦“肝病中的既有证据汇总和比较”。对利加隆的跟踪意义：MASH/NASH 疾病修饰治疗。优先阅读原文方法和结论，判断是否形成可引用证据。</w:t>
            </w:r>
          </w:p>
        </w:tc>
        <w:tc>
          <w:tcPr>
            <w:tcW w:type="dxa" w:w="2160"/>
            <w:vAlign w:val="top"/>
          </w:tcPr>
          <w:p>
            <w:pPr>
              <w:spacing w:after="0"/>
            </w:pPr>
            <w:r/>
            <w:r>
              <w:rPr>
                <w:rFonts w:ascii="Microsoft YaHei" w:hAnsi="Microsoft YaHei" w:eastAsia="微软雅黑"/>
                <w:b w:val="0"/>
                <w:sz w:val="18"/>
              </w:rPr>
              <w:t>MASH/NASH 疾病修饰治疗；建议评估该更新对利加隆相关医学信息、竞品监测或风险沟通的影响。</w:t>
            </w:r>
          </w:p>
        </w:tc>
      </w:tr>
    </w:tbl>
    <w:p>
      <w:pPr>
        <w:pStyle w:val="Heading1"/>
      </w:pPr>
      <w:r>
        <w:t>四、KOL/专家动态</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296"/>
            <w:vAlign w:val="top"/>
            <w:shd w:fill="0F766D"/>
          </w:tcPr>
          <w:p>
            <w:pPr>
              <w:spacing w:after="0"/>
            </w:pPr>
            <w:r/>
            <w:r>
              <w:rPr>
                <w:rFonts w:ascii="Microsoft YaHei" w:hAnsi="Microsoft YaHei" w:eastAsia="微软雅黑"/>
                <w:b/>
                <w:color w:val="FFFFFF"/>
                <w:sz w:val="18"/>
              </w:rPr>
              <w:t>来源</w:t>
            </w:r>
          </w:p>
        </w:tc>
        <w:tc>
          <w:tcPr>
            <w:tcW w:type="dxa" w:w="936"/>
            <w:vAlign w:val="top"/>
            <w:shd w:fill="0F766D"/>
          </w:tcPr>
          <w:p>
            <w:pPr>
              <w:spacing w:after="0"/>
            </w:pPr>
            <w:r/>
            <w:r>
              <w:rPr>
                <w:rFonts w:ascii="Microsoft YaHei" w:hAnsi="Microsoft YaHei" w:eastAsia="微软雅黑"/>
                <w:b/>
                <w:color w:val="FFFFFF"/>
                <w:sz w:val="18"/>
              </w:rPr>
              <w:t>类型</w:t>
            </w:r>
          </w:p>
        </w:tc>
        <w:tc>
          <w:tcPr>
            <w:tcW w:type="dxa" w:w="2160"/>
            <w:vAlign w:val="top"/>
            <w:shd w:fill="0F766D"/>
          </w:tcPr>
          <w:p>
            <w:pPr>
              <w:spacing w:after="0"/>
            </w:pPr>
            <w:r/>
            <w:r>
              <w:rPr>
                <w:rFonts w:ascii="Microsoft YaHei" w:hAnsi="Microsoft YaHei" w:eastAsia="微软雅黑"/>
                <w:b/>
                <w:color w:val="FFFFFF"/>
                <w:sz w:val="18"/>
              </w:rPr>
              <w:t>专家/机构</w:t>
            </w:r>
          </w:p>
        </w:tc>
        <w:tc>
          <w:tcPr>
            <w:tcW w:type="dxa" w:w="2592"/>
            <w:vAlign w:val="top"/>
            <w:shd w:fill="0F766D"/>
          </w:tcPr>
          <w:p>
            <w:pPr>
              <w:spacing w:after="0"/>
            </w:pPr>
            <w:r/>
            <w:r>
              <w:rPr>
                <w:rFonts w:ascii="Microsoft YaHei" w:hAnsi="Microsoft YaHei" w:eastAsia="微软雅黑"/>
                <w:b/>
                <w:color w:val="FFFFFF"/>
                <w:sz w:val="18"/>
              </w:rPr>
              <w:t>标题</w:t>
            </w:r>
          </w:p>
        </w:tc>
        <w:tc>
          <w:tcPr>
            <w:tcW w:type="dxa" w:w="1728"/>
            <w:vAlign w:val="top"/>
            <w:shd w:fill="0F766D"/>
          </w:tcPr>
          <w:p>
            <w:pPr>
              <w:spacing w:after="0"/>
            </w:pPr>
            <w:r/>
            <w:r>
              <w:rPr>
                <w:rFonts w:ascii="Microsoft YaHei" w:hAnsi="Microsoft YaHei" w:eastAsia="微软雅黑"/>
                <w:b/>
                <w:color w:val="FFFFFF"/>
                <w:sz w:val="18"/>
              </w:rPr>
              <w:t>产品信息</w:t>
            </w:r>
          </w:p>
        </w:tc>
        <w:tc>
          <w:tcPr>
            <w:tcW w:type="dxa" w:w="3240"/>
            <w:vAlign w:val="top"/>
            <w:shd w:fill="0F766D"/>
          </w:tcPr>
          <w:p>
            <w:pPr>
              <w:spacing w:after="0"/>
            </w:pPr>
            <w:r/>
            <w:r>
              <w:rPr>
                <w:rFonts w:ascii="Microsoft YaHei" w:hAnsi="Microsoft YaHei" w:eastAsia="微软雅黑"/>
                <w:b/>
                <w:color w:val="FFFFFF"/>
                <w:sz w:val="18"/>
              </w:rPr>
              <w:t>内容概要</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非会议</w:t>
            </w:r>
          </w:p>
        </w:tc>
        <w:tc>
          <w:tcPr>
            <w:tcW w:type="dxa" w:w="2160"/>
            <w:vAlign w:val="top"/>
          </w:tcPr>
          <w:p>
            <w:pPr>
              <w:spacing w:after="0"/>
            </w:pPr>
            <w:r/>
            <w:r>
              <w:rPr>
                <w:rFonts w:ascii="Microsoft YaHei" w:hAnsi="Microsoft YaHei" w:eastAsia="微软雅黑"/>
                <w:b w:val="0"/>
                <w:sz w:val="18"/>
              </w:rPr>
              <w:t>马雄 / 上海交通大学医学院附属仁济医院东院</w:t>
            </w:r>
          </w:p>
        </w:tc>
        <w:tc>
          <w:tcPr>
            <w:tcW w:type="dxa" w:w="2592"/>
            <w:vAlign w:val="top"/>
          </w:tcPr>
          <w:p>
            <w:pPr>
              <w:spacing w:after="0"/>
            </w:pPr>
            <w:r/>
            <w:r>
              <w:rPr>
                <w:rFonts w:ascii="Microsoft YaHei" w:hAnsi="Microsoft YaHei" w:eastAsia="微软雅黑"/>
                <w:b w:val="0"/>
                <w:sz w:val="18"/>
              </w:rPr>
              <w:t>EASL中国之声丨马雄教授团队：多维度突破，赋能自身免疫性肝病精准诊疗</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专家相关内容：本次会上， 上海交通大学医学院附属仁济医院马雄教授团队 1项口头报告、5项壁报研究入选。 本次会上 上海交通大学医学院附属仁济医院马雄教授团队 1项口头报告、5项壁报研究入选。（详见网站明细）</w:t>
            </w:r>
          </w:p>
        </w:tc>
      </w:tr>
      <w:tr>
        <w:tc>
          <w:tcPr>
            <w:tcW w:type="dxa" w:w="1152"/>
            <w:vAlign w:val="top"/>
          </w:tcPr>
          <w:p>
            <w:pPr>
              <w:spacing w:after="0"/>
            </w:pPr>
            <w:r/>
            <w:r>
              <w:rPr>
                <w:rFonts w:ascii="Microsoft YaHei" w:hAnsi="Microsoft YaHei" w:eastAsia="微软雅黑"/>
                <w:b w:val="0"/>
                <w:sz w:val="18"/>
              </w:rPr>
              <w:t>2026-06-16</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樊蓉 / 南方医科大学南方医院</w:t>
            </w:r>
          </w:p>
        </w:tc>
        <w:tc>
          <w:tcPr>
            <w:tcW w:type="dxa" w:w="2592"/>
            <w:vAlign w:val="top"/>
          </w:tcPr>
          <w:p>
            <w:pPr>
              <w:spacing w:after="0"/>
            </w:pPr>
            <w:r/>
            <w:r>
              <w:rPr>
                <w:rFonts w:ascii="Microsoft YaHei" w:hAnsi="Microsoft YaHei" w:eastAsia="微软雅黑"/>
                <w:b w:val="0"/>
                <w:sz w:val="18"/>
              </w:rPr>
              <w:t>免疫检查点抑制剂诱导的乙型肝炎病毒标志物快速下降可改善乙型肝炎病毒相关肝细胞癌患者的预后。</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免疫检查点抑制剂诱导的乙型肝炎病毒标志物快速下降可改善乙型肝炎病毒相关肝细胞癌患者的预后。摘要要点：背景：关于免疫检查点抑制剂（ICIs）对乙型肝炎病毒（HBV）相关肝细胞癌（HCC）的抗病毒功效的研究有限。本研究旨在评估 ICI 对多种 HBV 标志物的影响及其与 HCC 预后的相关性。（详见网站明细）</w:t>
            </w:r>
          </w:p>
        </w:tc>
      </w:tr>
      <w:tr>
        <w:tc>
          <w:tcPr>
            <w:tcW w:type="dxa" w:w="1152"/>
            <w:vAlign w:val="top"/>
          </w:tcPr>
          <w:p>
            <w:pPr>
              <w:spacing w:after="0"/>
            </w:pPr>
            <w:r/>
            <w:r>
              <w:rPr>
                <w:rFonts w:ascii="Microsoft YaHei" w:hAnsi="Microsoft YaHei" w:eastAsia="微软雅黑"/>
                <w:b w:val="0"/>
                <w:sz w:val="18"/>
              </w:rPr>
              <w:t>2026-06-15</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陈煜 / 首都医科大学附属北京佑安医院</w:t>
            </w:r>
          </w:p>
        </w:tc>
        <w:tc>
          <w:tcPr>
            <w:tcW w:type="dxa" w:w="2592"/>
            <w:vAlign w:val="top"/>
          </w:tcPr>
          <w:p>
            <w:pPr>
              <w:spacing w:after="0"/>
            </w:pPr>
            <w:r/>
            <w:r>
              <w:rPr>
                <w:rFonts w:ascii="Microsoft YaHei" w:hAnsi="Microsoft YaHei" w:eastAsia="微软雅黑"/>
                <w:b w:val="0"/>
                <w:sz w:val="18"/>
              </w:rPr>
              <w:t>老年脑动静脉畸形患者的治疗模式和结果：一项多中心前瞻性队列研究。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研究主题：老年脑动静脉畸形患者的治疗模式和结果：一项多中心前瞻性队列研究。摘要要点：背景：本研究旨在评估 60 岁及以上脑动静脉畸形 (AVM) 患者在不同现实世界治疗方式下的长期结局和出血风险。（详见网站明细）</w:t>
            </w:r>
          </w:p>
        </w:tc>
      </w:tr>
      <w:tr>
        <w:tc>
          <w:tcPr>
            <w:tcW w:type="dxa" w:w="1152"/>
            <w:vAlign w:val="top"/>
          </w:tcPr>
          <w:p>
            <w:pPr>
              <w:spacing w:after="0"/>
            </w:pPr>
            <w:r/>
            <w:r>
              <w:rPr>
                <w:rFonts w:ascii="Microsoft YaHei" w:hAnsi="Microsoft YaHei" w:eastAsia="微软雅黑"/>
                <w:b w:val="0"/>
                <w:sz w:val="18"/>
              </w:rPr>
              <w:t>2026-06-10</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胡鹏 / 重庆医科大学附属第二医院</w:t>
            </w:r>
          </w:p>
        </w:tc>
        <w:tc>
          <w:tcPr>
            <w:tcW w:type="dxa" w:w="2592"/>
            <w:vAlign w:val="top"/>
          </w:tcPr>
          <w:p>
            <w:pPr>
              <w:spacing w:after="0"/>
            </w:pPr>
            <w:r/>
            <w:r>
              <w:rPr>
                <w:rFonts w:ascii="Microsoft YaHei" w:hAnsi="Microsoft YaHei" w:eastAsia="微软雅黑"/>
                <w:b w:val="0"/>
                <w:sz w:val="18"/>
              </w:rPr>
              <w:t>未经治疗的慢性乙型肝炎患者肝硬化发病率的性别差异：一项为期 10 年的中国队列研究。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研究主题：未经治疗的慢性乙型肝炎患者肝硬化发病率的性别差异：一项为期 10 年的中国队列研究。摘要要点：背景：目前慢性乙型肝炎（CHB）抗病毒治疗指南基于年龄、丙氨酸氨基转移酶（ALT）水平、病毒载量、乙型肝炎病毒（HBV）相关肝硬化或肝细胞癌（HCC）家族史，而不考虑性别因素。（详见网站明细）</w:t>
            </w:r>
          </w:p>
        </w:tc>
      </w:tr>
      <w:tr>
        <w:tc>
          <w:tcPr>
            <w:tcW w:type="dxa" w:w="1152"/>
            <w:vAlign w:val="top"/>
          </w:tcPr>
          <w:p>
            <w:pPr>
              <w:spacing w:after="0"/>
            </w:pPr>
            <w:r/>
            <w:r>
              <w:rPr>
                <w:rFonts w:ascii="Microsoft YaHei" w:hAnsi="Microsoft YaHei" w:eastAsia="微软雅黑"/>
                <w:b w:val="0"/>
                <w:sz w:val="18"/>
              </w:rPr>
              <w:t>2026-06-01</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李婕 / 南京鼓楼医院</w:t>
            </w:r>
          </w:p>
        </w:tc>
        <w:tc>
          <w:tcPr>
            <w:tcW w:type="dxa" w:w="2592"/>
            <w:vAlign w:val="top"/>
          </w:tcPr>
          <w:p>
            <w:pPr>
              <w:spacing w:after="0"/>
            </w:pPr>
            <w:r/>
            <w:r>
              <w:rPr>
                <w:rFonts w:ascii="Microsoft YaHei" w:hAnsi="Microsoft YaHei" w:eastAsia="微软雅黑"/>
                <w:b w:val="0"/>
                <w:sz w:val="18"/>
              </w:rPr>
              <w:t>过度激活的低密度中性粒细胞衍生的 NGAL 可预测致命的 SFTS：一项多队列和单细胞研究。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研究主题：过度激活的低密度中性粒细胞衍生的 NGAL 可预测致命的 SFTS：一项多队列和单细胞研究。摘要要点：目的：严重发热伴血小板减少综合征（SFTS）是一种病情进展快、死亡率高的急性传染病。（详见网站明细）</w:t>
            </w:r>
          </w:p>
        </w:tc>
      </w:tr>
    </w:tbl>
    <w:p>
      <w:pPr>
        <w:pStyle w:val="Heading1"/>
      </w:pPr>
      <w:r>
        <w:t>五、涉及分子/靶点</w:t>
      </w:r>
    </w:p>
    <w:tbl>
      <w:tblPr>
        <w:tblStyle w:val="TableGrid"/>
        <w:tblW w:type="auto" w:w="0"/>
        <w:jc w:val="center"/>
        <w:tblLook w:firstColumn="1" w:firstRow="1" w:lastColumn="0" w:lastRow="0" w:noHBand="0" w:noVBand="1" w:val="04A0"/>
      </w:tblPr>
      <w:tblGrid>
        <w:gridCol w:w="5184"/>
        <w:gridCol w:w="5184"/>
      </w:tblGrid>
      <w:tr>
        <w:tc>
          <w:tcPr>
            <w:tcW w:type="dxa" w:w="7920"/>
            <w:vAlign w:val="top"/>
            <w:shd w:fill="0F766D"/>
          </w:tcPr>
          <w:p>
            <w:pPr>
              <w:spacing w:after="0"/>
            </w:pPr>
            <w:r/>
            <w:r>
              <w:rPr>
                <w:rFonts w:ascii="Microsoft YaHei" w:hAnsi="Microsoft YaHei" w:eastAsia="微软雅黑"/>
                <w:b/>
                <w:color w:val="FFFFFF"/>
                <w:sz w:val="18"/>
              </w:rPr>
              <w:t>分子/靶点/通用名</w:t>
            </w:r>
          </w:p>
        </w:tc>
        <w:tc>
          <w:tcPr>
            <w:tcW w:type="dxa" w:w="1584"/>
            <w:vAlign w:val="top"/>
            <w:shd w:fill="0F766D"/>
          </w:tcPr>
          <w:p>
            <w:pPr>
              <w:spacing w:after="0"/>
            </w:pPr>
            <w:r/>
            <w:r>
              <w:rPr>
                <w:rFonts w:ascii="Microsoft YaHei" w:hAnsi="Microsoft YaHei" w:eastAsia="微软雅黑"/>
                <w:b/>
                <w:color w:val="FFFFFF"/>
                <w:sz w:val="18"/>
              </w:rPr>
              <w:t>出现次数</w:t>
            </w:r>
          </w:p>
        </w:tc>
      </w:tr>
      <w:tr>
        <w:tc>
          <w:tcPr>
            <w:tcW w:type="dxa" w:w="7920"/>
            <w:vAlign w:val="top"/>
          </w:tcPr>
          <w:p>
            <w:pPr>
              <w:spacing w:after="0"/>
            </w:pPr>
            <w:r/>
            <w:r>
              <w:rPr>
                <w:rFonts w:ascii="Microsoft YaHei" w:hAnsi="Microsoft YaHei" w:eastAsia="微软雅黑"/>
                <w:b w:val="0"/>
                <w:sz w:val="18"/>
              </w:rPr>
              <w:t>Silymarin mixture</w:t>
            </w:r>
          </w:p>
        </w:tc>
        <w:tc>
          <w:tcPr>
            <w:tcW w:type="dxa" w:w="1584"/>
            <w:vAlign w:val="top"/>
          </w:tcPr>
          <w:p>
            <w:pPr>
              <w:spacing w:after="0"/>
            </w:pPr>
            <w:r/>
            <w:r>
              <w:rPr>
                <w:rFonts w:ascii="Microsoft YaHei" w:hAnsi="Microsoft YaHei" w:eastAsia="微软雅黑"/>
                <w:b w:val="0"/>
                <w:sz w:val="18"/>
              </w:rPr>
              <w:t>96</w:t>
            </w:r>
          </w:p>
        </w:tc>
      </w:tr>
      <w:tr>
        <w:tc>
          <w:tcPr>
            <w:tcW w:type="dxa" w:w="7920"/>
            <w:vAlign w:val="top"/>
          </w:tcPr>
          <w:p>
            <w:pPr>
              <w:spacing w:after="0"/>
            </w:pPr>
            <w:r/>
            <w:r>
              <w:rPr>
                <w:rFonts w:ascii="Microsoft YaHei" w:hAnsi="Microsoft YaHei" w:eastAsia="微软雅黑"/>
                <w:b w:val="0"/>
                <w:sz w:val="18"/>
              </w:rPr>
              <w:t>representative silybin / C25H22O10</w:t>
            </w:r>
          </w:p>
        </w:tc>
        <w:tc>
          <w:tcPr>
            <w:tcW w:type="dxa" w:w="1584"/>
            <w:vAlign w:val="top"/>
          </w:tcPr>
          <w:p>
            <w:pPr>
              <w:spacing w:after="0"/>
            </w:pPr>
            <w:r/>
            <w:r>
              <w:rPr>
                <w:rFonts w:ascii="Microsoft YaHei" w:hAnsi="Microsoft YaHei" w:eastAsia="微软雅黑"/>
                <w:b w:val="0"/>
                <w:sz w:val="18"/>
              </w:rPr>
              <w:t>96</w:t>
            </w:r>
          </w:p>
        </w:tc>
      </w:tr>
      <w:tr>
        <w:tc>
          <w:tcPr>
            <w:tcW w:type="dxa" w:w="7920"/>
            <w:vAlign w:val="top"/>
          </w:tcPr>
          <w:p>
            <w:pPr>
              <w:spacing w:after="0"/>
            </w:pPr>
            <w:r/>
            <w:r>
              <w:rPr>
                <w:rFonts w:ascii="Microsoft YaHei" w:hAnsi="Microsoft YaHei" w:eastAsia="微软雅黑"/>
                <w:b w:val="0"/>
                <w:sz w:val="18"/>
              </w:rPr>
              <w:t>还原型谷胱甘肽 / glutathione / C10H17N3O6S</w:t>
            </w:r>
          </w:p>
        </w:tc>
        <w:tc>
          <w:tcPr>
            <w:tcW w:type="dxa" w:w="1584"/>
            <w:vAlign w:val="top"/>
          </w:tcPr>
          <w:p>
            <w:pPr>
              <w:spacing w:after="0"/>
            </w:pPr>
            <w:r/>
            <w:r>
              <w:rPr>
                <w:rFonts w:ascii="Microsoft YaHei" w:hAnsi="Microsoft YaHei" w:eastAsia="微软雅黑"/>
                <w:b w:val="0"/>
                <w:sz w:val="18"/>
              </w:rPr>
              <w:t>19</w:t>
            </w:r>
          </w:p>
        </w:tc>
      </w:tr>
      <w:tr>
        <w:tc>
          <w:tcPr>
            <w:tcW w:type="dxa" w:w="7920"/>
            <w:vAlign w:val="top"/>
          </w:tcPr>
          <w:p>
            <w:pPr>
              <w:spacing w:after="0"/>
            </w:pPr>
            <w:r/>
            <w:r>
              <w:rPr>
                <w:rFonts w:ascii="Microsoft YaHei" w:hAnsi="Microsoft YaHei" w:eastAsia="微软雅黑"/>
                <w:b w:val="0"/>
                <w:sz w:val="18"/>
              </w:rPr>
              <w:t>司美格鲁肽 / semaglutide / C187H291N45O59</w:t>
            </w:r>
          </w:p>
        </w:tc>
        <w:tc>
          <w:tcPr>
            <w:tcW w:type="dxa" w:w="1584"/>
            <w:vAlign w:val="top"/>
          </w:tcPr>
          <w:p>
            <w:pPr>
              <w:spacing w:after="0"/>
            </w:pPr>
            <w:r/>
            <w:r>
              <w:rPr>
                <w:rFonts w:ascii="Microsoft YaHei" w:hAnsi="Microsoft YaHei" w:eastAsia="微软雅黑"/>
                <w:b w:val="0"/>
                <w:sz w:val="18"/>
              </w:rPr>
              <w:t>16</w:t>
            </w:r>
          </w:p>
        </w:tc>
      </w:tr>
      <w:tr>
        <w:tc>
          <w:tcPr>
            <w:tcW w:type="dxa" w:w="7920"/>
            <w:vAlign w:val="top"/>
          </w:tcPr>
          <w:p>
            <w:pPr>
              <w:spacing w:after="0"/>
            </w:pPr>
            <w:r/>
            <w:r>
              <w:rPr>
                <w:rFonts w:ascii="Microsoft YaHei" w:hAnsi="Microsoft YaHei" w:eastAsia="微软雅黑"/>
                <w:b w:val="0"/>
                <w:sz w:val="18"/>
              </w:rPr>
              <w:t>乙酰半胱氨酸 / acetylcysteine / C5H9NO3S</w:t>
            </w:r>
          </w:p>
        </w:tc>
        <w:tc>
          <w:tcPr>
            <w:tcW w:type="dxa" w:w="1584"/>
            <w:vAlign w:val="top"/>
          </w:tcPr>
          <w:p>
            <w:pPr>
              <w:spacing w:after="0"/>
            </w:pPr>
            <w:r/>
            <w:r>
              <w:rPr>
                <w:rFonts w:ascii="Microsoft YaHei" w:hAnsi="Microsoft YaHei" w:eastAsia="微软雅黑"/>
                <w:b w:val="0"/>
                <w:sz w:val="18"/>
              </w:rPr>
              <w:t>15</w:t>
            </w:r>
          </w:p>
        </w:tc>
      </w:tr>
      <w:tr>
        <w:tc>
          <w:tcPr>
            <w:tcW w:type="dxa" w:w="7920"/>
            <w:vAlign w:val="top"/>
          </w:tcPr>
          <w:p>
            <w:pPr>
              <w:spacing w:after="0"/>
            </w:pPr>
            <w:r/>
            <w:r>
              <w:rPr>
                <w:rFonts w:ascii="Microsoft YaHei" w:hAnsi="Microsoft YaHei" w:eastAsia="微软雅黑"/>
                <w:b w:val="0"/>
                <w:sz w:val="18"/>
              </w:rPr>
              <w:t>水飞蓟素/水飞蓟宾代表成分 / silymarin / silybin / C25H22O10</w:t>
            </w:r>
          </w:p>
        </w:tc>
        <w:tc>
          <w:tcPr>
            <w:tcW w:type="dxa" w:w="1584"/>
            <w:vAlign w:val="top"/>
          </w:tcPr>
          <w:p>
            <w:pPr>
              <w:spacing w:after="0"/>
            </w:pPr>
            <w:r/>
            <w:r>
              <w:rPr>
                <w:rFonts w:ascii="Microsoft YaHei" w:hAnsi="Microsoft YaHei" w:eastAsia="微软雅黑"/>
                <w:b w:val="0"/>
                <w:sz w:val="18"/>
              </w:rPr>
              <w:t>13</w:t>
            </w:r>
          </w:p>
        </w:tc>
      </w:tr>
      <w:tr>
        <w:tc>
          <w:tcPr>
            <w:tcW w:type="dxa" w:w="7920"/>
            <w:vAlign w:val="top"/>
          </w:tcPr>
          <w:p>
            <w:pPr>
              <w:spacing w:after="0"/>
            </w:pPr>
            <w:r/>
            <w:r>
              <w:rPr>
                <w:rFonts w:ascii="Microsoft YaHei" w:hAnsi="Microsoft YaHei" w:eastAsia="微软雅黑"/>
                <w:b w:val="0"/>
                <w:sz w:val="18"/>
              </w:rPr>
              <w:t>甘草酸 / glycyrrhizic acid / C42H62O16</w:t>
            </w:r>
          </w:p>
        </w:tc>
        <w:tc>
          <w:tcPr>
            <w:tcW w:type="dxa" w:w="1584"/>
            <w:vAlign w:val="top"/>
          </w:tcPr>
          <w:p>
            <w:pPr>
              <w:spacing w:after="0"/>
            </w:pPr>
            <w:r/>
            <w:r>
              <w:rPr>
                <w:rFonts w:ascii="Microsoft YaHei" w:hAnsi="Microsoft YaHei" w:eastAsia="微软雅黑"/>
                <w:b w:val="0"/>
                <w:sz w:val="18"/>
              </w:rPr>
              <w:t>7</w:t>
            </w:r>
          </w:p>
        </w:tc>
      </w:tr>
      <w:tr>
        <w:tc>
          <w:tcPr>
            <w:tcW w:type="dxa" w:w="7920"/>
            <w:vAlign w:val="top"/>
          </w:tcPr>
          <w:p>
            <w:pPr>
              <w:spacing w:after="0"/>
            </w:pPr>
            <w:r/>
            <w:r>
              <w:rPr>
                <w:rFonts w:ascii="Microsoft YaHei" w:hAnsi="Microsoft YaHei" w:eastAsia="微软雅黑"/>
                <w:b w:val="0"/>
                <w:sz w:val="18"/>
              </w:rPr>
              <w:t>熊去氧胆酸 / ursodeoxycholic acid / C24H40O4</w:t>
            </w:r>
          </w:p>
        </w:tc>
        <w:tc>
          <w:tcPr>
            <w:tcW w:type="dxa" w:w="1584"/>
            <w:vAlign w:val="top"/>
          </w:tcPr>
          <w:p>
            <w:pPr>
              <w:spacing w:after="0"/>
            </w:pPr>
            <w:r/>
            <w:r>
              <w:rPr>
                <w:rFonts w:ascii="Microsoft YaHei" w:hAnsi="Microsoft YaHei" w:eastAsia="微软雅黑"/>
                <w:b w:val="0"/>
                <w:sz w:val="18"/>
              </w:rPr>
              <w:t>7</w:t>
            </w:r>
          </w:p>
        </w:tc>
      </w:tr>
      <w:tr>
        <w:tc>
          <w:tcPr>
            <w:tcW w:type="dxa" w:w="7920"/>
            <w:vAlign w:val="top"/>
          </w:tcPr>
          <w:p>
            <w:pPr>
              <w:spacing w:after="0"/>
            </w:pPr>
            <w:r/>
            <w:r>
              <w:rPr>
                <w:rFonts w:ascii="Microsoft YaHei" w:hAnsi="Microsoft YaHei" w:eastAsia="微软雅黑"/>
                <w:b w:val="0"/>
                <w:sz w:val="18"/>
              </w:rPr>
              <w:t>复方甘草酸苷 / glycyrrhizin / 代表成分甘草酸 C42H62O16</w:t>
            </w:r>
          </w:p>
        </w:tc>
        <w:tc>
          <w:tcPr>
            <w:tcW w:type="dxa" w:w="1584"/>
            <w:vAlign w:val="top"/>
          </w:tcPr>
          <w:p>
            <w:pPr>
              <w:spacing w:after="0"/>
            </w:pPr>
            <w:r/>
            <w:r>
              <w:rPr>
                <w:rFonts w:ascii="Microsoft YaHei" w:hAnsi="Microsoft YaHei" w:eastAsia="微软雅黑"/>
                <w:b w:val="0"/>
                <w:sz w:val="18"/>
              </w:rPr>
              <w:t>5</w:t>
            </w:r>
          </w:p>
        </w:tc>
      </w:tr>
      <w:tr>
        <w:tc>
          <w:tcPr>
            <w:tcW w:type="dxa" w:w="7920"/>
            <w:vAlign w:val="top"/>
          </w:tcPr>
          <w:p>
            <w:pPr>
              <w:spacing w:after="0"/>
            </w:pPr>
            <w:r/>
            <w:r>
              <w:rPr>
                <w:rFonts w:ascii="Microsoft YaHei" w:hAnsi="Microsoft YaHei" w:eastAsia="微软雅黑"/>
                <w:b w:val="0"/>
                <w:sz w:val="18"/>
              </w:rPr>
              <w:t>复方制剂需按说明书确认</w:t>
            </w:r>
          </w:p>
        </w:tc>
        <w:tc>
          <w:tcPr>
            <w:tcW w:type="dxa" w:w="1584"/>
            <w:vAlign w:val="top"/>
          </w:tcPr>
          <w:p>
            <w:pPr>
              <w:spacing w:after="0"/>
            </w:pPr>
            <w:r/>
            <w:r>
              <w:rPr>
                <w:rFonts w:ascii="Microsoft YaHei" w:hAnsi="Microsoft YaHei" w:eastAsia="微软雅黑"/>
                <w:b w:val="0"/>
                <w:sz w:val="18"/>
              </w:rPr>
              <w:t>5</w:t>
            </w:r>
          </w:p>
        </w:tc>
      </w:tr>
      <w:tr>
        <w:tc>
          <w:tcPr>
            <w:tcW w:type="dxa" w:w="7920"/>
            <w:vAlign w:val="top"/>
          </w:tcPr>
          <w:p>
            <w:pPr>
              <w:spacing w:after="0"/>
            </w:pPr>
            <w:r/>
            <w:r>
              <w:rPr>
                <w:rFonts w:ascii="Microsoft YaHei" w:hAnsi="Microsoft YaHei" w:eastAsia="微软雅黑"/>
                <w:b w:val="0"/>
                <w:sz w:val="18"/>
              </w:rPr>
              <w:t>瑞司美替罗 / resmetirom / C17H12Cl2N6O4</w:t>
            </w:r>
          </w:p>
        </w:tc>
        <w:tc>
          <w:tcPr>
            <w:tcW w:type="dxa" w:w="1584"/>
            <w:vAlign w:val="top"/>
          </w:tcPr>
          <w:p>
            <w:pPr>
              <w:spacing w:after="0"/>
            </w:pPr>
            <w:r/>
            <w:r>
              <w:rPr>
                <w:rFonts w:ascii="Microsoft YaHei" w:hAnsi="Microsoft YaHei" w:eastAsia="微软雅黑"/>
                <w:b w:val="0"/>
                <w:sz w:val="18"/>
              </w:rPr>
              <w:t>5</w:t>
            </w:r>
          </w:p>
        </w:tc>
      </w:tr>
      <w:tr>
        <w:tc>
          <w:tcPr>
            <w:tcW w:type="dxa" w:w="7920"/>
            <w:vAlign w:val="top"/>
          </w:tcPr>
          <w:p>
            <w:pPr>
              <w:spacing w:after="0"/>
            </w:pPr>
            <w:r/>
            <w:r>
              <w:rPr>
                <w:rFonts w:ascii="Microsoft YaHei" w:hAnsi="Microsoft YaHei" w:eastAsia="微软雅黑"/>
                <w:b w:val="0"/>
                <w:sz w:val="18"/>
              </w:rPr>
              <w:t>奥贝胆酸 / obeticholic acid / C26H44O4</w:t>
            </w:r>
          </w:p>
        </w:tc>
        <w:tc>
          <w:tcPr>
            <w:tcW w:type="dxa" w:w="1584"/>
            <w:vAlign w:val="top"/>
          </w:tcPr>
          <w:p>
            <w:pPr>
              <w:spacing w:after="0"/>
            </w:pPr>
            <w:r/>
            <w:r>
              <w:rPr>
                <w:rFonts w:ascii="Microsoft YaHei" w:hAnsi="Microsoft YaHei" w:eastAsia="微软雅黑"/>
                <w:b w:val="0"/>
                <w:sz w:val="18"/>
              </w:rPr>
              <w:t>4</w:t>
            </w:r>
          </w:p>
        </w:tc>
      </w:tr>
    </w:tbl>
    <w:p>
      <w:pPr>
        <w:pStyle w:val="Heading1"/>
      </w:pPr>
      <w:r>
        <w:t>六、建议跟进</w:t>
      </w:r>
    </w:p>
    <w:p>
      <w:pPr>
        <w:pStyle w:val="ListBullet"/>
      </w:pPr>
      <w:r>
        <w:rPr>
          <w:rFonts w:ascii="Microsoft YaHei" w:hAnsi="Microsoft YaHei" w:eastAsia="微软雅黑"/>
          <w:sz w:val="21"/>
        </w:rPr>
        <w:t>Clinical｜奥贝胆酸相关 ClinicalTrials.gov 临床研究更新（NCT06488911）：建议结合研究设计、入排标准、终点和安全性信息判断对本品医学沟通、竞品监测或风险沟通的影响。</w:t>
      </w:r>
    </w:p>
    <w:p>
      <w:pPr>
        <w:pStyle w:val="ListBullet"/>
      </w:pPr>
      <w:r>
        <w:rPr>
          <w:rFonts w:ascii="Microsoft YaHei" w:hAnsi="Microsoft YaHei" w:eastAsia="微软雅黑"/>
          <w:sz w:val="21"/>
        </w:rPr>
        <w:t>Clinical｜瑞司美替罗相关 ClinicalTrials.gov 临床研究更新（NCT05500222）：建议结合研究设计、入排标准、终点和安全性信息判断对本品医学沟通、竞品监测或风险沟通的影响。</w:t>
      </w:r>
    </w:p>
    <w:p>
      <w:pPr>
        <w:pStyle w:val="ListBullet"/>
      </w:pPr>
      <w:r>
        <w:rPr>
          <w:rFonts w:ascii="Microsoft YaHei" w:hAnsi="Microsoft YaHei" w:eastAsia="微软雅黑"/>
          <w:sz w:val="21"/>
        </w:rPr>
        <w:t>Clinical｜复方甘草酸苷相关 ClinicalTrials.gov 临床研究更新（NCT07616271）：建议结合研究设计、入排标准、终点和安全性信息判断对本品医学沟通、竞品监测或风险沟通的影响。</w:t>
      </w:r>
    </w:p>
    <w:p>
      <w:pPr>
        <w:pStyle w:val="ListBullet"/>
      </w:pPr>
      <w:r>
        <w:rPr>
          <w:rFonts w:ascii="Microsoft YaHei" w:hAnsi="Microsoft YaHei" w:eastAsia="微软雅黑"/>
          <w:sz w:val="21"/>
        </w:rPr>
        <w:t>Clinical｜瑞司美替罗相关 ClinicalTrials.gov 临床研究更新（NCT03900429）：建议结合研究设计、入排标准、终点和安全性信息判断对本品医学沟通、竞品监测或风险沟通的影响。</w:t>
      </w:r>
    </w:p>
    <w:p>
      <w:pPr>
        <w:pStyle w:val="ListBullet"/>
      </w:pPr>
      <w:r>
        <w:rPr>
          <w:rFonts w:ascii="Microsoft YaHei" w:hAnsi="Microsoft YaHei" w:eastAsia="微软雅黑"/>
          <w:sz w:val="21"/>
        </w:rPr>
        <w:t>万方｜腺苷蛋氨酸相关万方中文文献发布：建议结合研究设计、入排标准、终点和安全性信息判断对本品医学沟通、竞品监测或风险沟通的影响。</w:t>
      </w:r>
    </w:p>
    <w:p>
      <w:pPr>
        <w:pStyle w:val="ListBullet"/>
      </w:pPr>
      <w:r>
        <w:rPr>
          <w:rFonts w:ascii="Microsoft YaHei" w:hAnsi="Microsoft YaHei" w:eastAsia="微软雅黑"/>
          <w:sz w:val="21"/>
        </w:rPr>
        <w:t>专家侧建议优先核对高频专家/机构与产品线的关联，必要时补充会议报道原文和论文全文。</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84F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722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084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