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微软雅黑"/>
          <w:b/>
          <w:color w:val="084F49"/>
          <w:sz w:val="40"/>
        </w:rPr>
        <w:t>络活喜｜2026年6月关注报告</w:t>
      </w:r>
    </w:p>
    <w:p>
      <w:pPr>
        <w:jc w:val="center"/>
      </w:pPr>
      <w:r>
        <w:rPr>
          <w:rFonts w:ascii="Microsoft YaHei" w:hAnsi="Microsoft YaHei" w:eastAsia="微软雅黑"/>
          <w:color w:val="5F6F72"/>
          <w:sz w:val="19"/>
        </w:rPr>
        <w:t>数据范围：2026-06-01 至 2026-06-30｜来源：产品/竞品研究进展 + NKOL 微信/PubMed 明细</w:t>
      </w:r>
    </w:p>
    <w:p>
      <w:pPr>
        <w:spacing w:before="200" w:after="120"/>
      </w:pPr>
      <w:r>
        <w:rPr>
          <w:rFonts w:ascii="Microsoft YaHei" w:hAnsi="Microsoft YaHei" w:eastAsia="微软雅黑"/>
          <w:b/>
          <w:color w:val="0F766D"/>
          <w:sz w:val="28"/>
        </w:rPr>
        <w:t>管理层摘要</w:t>
      </w:r>
    </w:p>
    <w:p>
      <w:pPr>
        <w:spacing w:after="100" w:line="300" w:lineRule="auto"/>
      </w:pPr>
      <w:r>
        <w:rPr>
          <w:rFonts w:ascii="Microsoft YaHei" w:hAnsi="Microsoft YaHei" w:eastAsia="微软雅黑"/>
          <w:b/>
          <w:color w:val="173B3A"/>
          <w:sz w:val="23"/>
        </w:rPr>
        <w:t>6月络活喜的核心信号是：氨氯地平同成分安全性和CCB/ARB复方竞争同时出现，重点从单药降压扩展到水肿差异、复方管理和同类替代。</w:t>
      </w:r>
    </w:p>
    <w:p>
      <w:pPr>
        <w:spacing w:after="60" w:line="293" w:lineRule="auto"/>
        <w:ind w:left="160"/>
      </w:pPr>
      <w:r>
        <w:rPr>
          <w:rFonts w:ascii="Microsoft YaHei" w:hAnsi="Microsoft YaHei" w:eastAsia="微软雅黑"/>
          <w:b w:val="0"/>
          <w:color w:val="253638"/>
          <w:sz w:val="21"/>
        </w:rPr>
        <w:t>发生了什么：本月纳入35条产品/竞品进展，19条建议跟进、9条高证据；Clinical和PubMed更新覆盖氨氯地平、硝苯地平、缬沙坦/复方方案，并有中文文献补充。</w:t>
      </w:r>
    </w:p>
    <w:p>
      <w:pPr>
        <w:spacing w:after="60" w:line="293" w:lineRule="auto"/>
        <w:ind w:left="160"/>
      </w:pPr>
      <w:r>
        <w:rPr>
          <w:rFonts w:ascii="Microsoft YaHei" w:hAnsi="Microsoft YaHei" w:eastAsia="微软雅黑"/>
          <w:b w:val="0"/>
          <w:color w:val="253638"/>
          <w:sz w:val="21"/>
        </w:rPr>
        <w:t>关注什么：优先关注左氨氯地平与氨氯地平踝部水肿比较、心痛定/硝苯地平同类研究、代文/倍博特相关复方路径。</w:t>
      </w:r>
    </w:p>
    <w:p>
      <w:pPr>
        <w:spacing w:after="60" w:line="293" w:lineRule="auto"/>
        <w:ind w:left="160"/>
      </w:pPr>
      <w:r>
        <w:rPr>
          <w:rFonts w:ascii="Microsoft YaHei" w:hAnsi="Microsoft YaHei" w:eastAsia="微软雅黑"/>
          <w:b w:val="0"/>
          <w:color w:val="253638"/>
          <w:sz w:val="21"/>
        </w:rPr>
        <w:t>为什么关注：水肿和复方管理是络活喜临床沟通中的关键问题，竞品若在耐受性或联合控压场景形成证据，会影响处方选择和患者沟通。</w:t>
      </w:r>
    </w:p>
    <w:p>
      <w:pPr>
        <w:spacing w:after="60" w:line="293" w:lineRule="auto"/>
        <w:ind w:left="160"/>
      </w:pPr>
      <w:r>
        <w:rPr>
          <w:rFonts w:ascii="Microsoft YaHei" w:hAnsi="Microsoft YaHei" w:eastAsia="微软雅黑"/>
          <w:b w:val="0"/>
          <w:color w:val="253638"/>
          <w:sz w:val="21"/>
        </w:rPr>
        <w:t>建议动作：补充氨氯地平水肿与剂量管理问答；梳理CCB同类及ARB/CCB复方的证据差异；把中文文献纳入本地医学资料库。</w:t>
      </w:r>
    </w:p>
    <w:p>
      <w:pPr>
        <w:spacing w:after="40"/>
      </w:pPr>
    </w:p>
    <w:p>
      <w:pPr>
        <w:pStyle w:val="Heading1"/>
      </w:pPr>
      <w:r>
        <w:t>一、本月概览</w:t>
      </w:r>
    </w:p>
    <w:tbl>
      <w:tblPr>
        <w:tblStyle w:val="TableGrid"/>
        <w:tblW w:type="auto" w:w="0"/>
        <w:jc w:val="center"/>
        <w:tblLook w:firstColumn="1" w:firstRow="1" w:lastColumn="0" w:lastRow="0" w:noHBand="0" w:noVBand="1" w:val="04A0"/>
      </w:tblPr>
      <w:tblGrid>
        <w:gridCol w:w="5184"/>
        <w:gridCol w:w="5184"/>
      </w:tblGrid>
      <w:tr>
        <w:tc>
          <w:tcPr>
            <w:tcW w:type="dxa" w:w="2880"/>
            <w:vAlign w:val="top"/>
            <w:shd w:fill="0F766D"/>
          </w:tcPr>
          <w:p>
            <w:pPr>
              <w:spacing w:after="0"/>
            </w:pPr>
            <w:r/>
            <w:r>
              <w:rPr>
                <w:rFonts w:ascii="Microsoft YaHei" w:hAnsi="Microsoft YaHei" w:eastAsia="微软雅黑"/>
                <w:b/>
                <w:color w:val="FFFFFF"/>
                <w:sz w:val="18"/>
              </w:rPr>
              <w:t>指标</w:t>
            </w:r>
          </w:p>
        </w:tc>
        <w:tc>
          <w:tcPr>
            <w:tcW w:type="dxa" w:w="1728"/>
            <w:vAlign w:val="top"/>
            <w:shd w:fill="0F766D"/>
          </w:tcPr>
          <w:p>
            <w:pPr>
              <w:spacing w:after="0"/>
            </w:pPr>
            <w:r/>
            <w:r>
              <w:rPr>
                <w:rFonts w:ascii="Microsoft YaHei" w:hAnsi="Microsoft YaHei" w:eastAsia="微软雅黑"/>
                <w:b/>
                <w:color w:val="FFFFFF"/>
                <w:sz w:val="18"/>
              </w:rPr>
              <w:t>数量</w:t>
            </w:r>
          </w:p>
        </w:tc>
      </w:tr>
      <w:tr>
        <w:tc>
          <w:tcPr>
            <w:tcW w:type="dxa" w:w="2880"/>
            <w:vAlign w:val="top"/>
          </w:tcPr>
          <w:p>
            <w:pPr>
              <w:spacing w:after="0"/>
            </w:pPr>
            <w:r/>
            <w:r>
              <w:rPr>
                <w:rFonts w:ascii="Microsoft YaHei" w:hAnsi="Microsoft YaHei" w:eastAsia="微软雅黑"/>
                <w:b w:val="0"/>
                <w:sz w:val="18"/>
              </w:rPr>
              <w:t>产品/竞品进展</w:t>
            </w:r>
          </w:p>
        </w:tc>
        <w:tc>
          <w:tcPr>
            <w:tcW w:type="dxa" w:w="1728"/>
            <w:vAlign w:val="top"/>
          </w:tcPr>
          <w:p>
            <w:pPr>
              <w:spacing w:after="0"/>
            </w:pPr>
            <w:r/>
            <w:r>
              <w:rPr>
                <w:rFonts w:ascii="Microsoft YaHei" w:hAnsi="Microsoft YaHei" w:eastAsia="微软雅黑"/>
                <w:b w:val="0"/>
                <w:sz w:val="18"/>
              </w:rPr>
              <w:t>35</w:t>
            </w:r>
          </w:p>
        </w:tc>
      </w:tr>
      <w:tr>
        <w:tc>
          <w:tcPr>
            <w:tcW w:type="dxa" w:w="2880"/>
            <w:vAlign w:val="top"/>
          </w:tcPr>
          <w:p>
            <w:pPr>
              <w:spacing w:after="0"/>
            </w:pPr>
            <w:r/>
            <w:r>
              <w:rPr>
                <w:rFonts w:ascii="Microsoft YaHei" w:hAnsi="Microsoft YaHei" w:eastAsia="微软雅黑"/>
                <w:b w:val="0"/>
                <w:sz w:val="18"/>
              </w:rPr>
              <w:t>建议跟进</w:t>
            </w:r>
          </w:p>
        </w:tc>
        <w:tc>
          <w:tcPr>
            <w:tcW w:type="dxa" w:w="1728"/>
            <w:vAlign w:val="top"/>
          </w:tcPr>
          <w:p>
            <w:pPr>
              <w:spacing w:after="0"/>
            </w:pPr>
            <w:r/>
            <w:r>
              <w:rPr>
                <w:rFonts w:ascii="Microsoft YaHei" w:hAnsi="Microsoft YaHei" w:eastAsia="微软雅黑"/>
                <w:b w:val="0"/>
                <w:sz w:val="18"/>
              </w:rPr>
              <w:t>19</w:t>
            </w:r>
          </w:p>
        </w:tc>
      </w:tr>
      <w:tr>
        <w:tc>
          <w:tcPr>
            <w:tcW w:type="dxa" w:w="2880"/>
            <w:vAlign w:val="top"/>
          </w:tcPr>
          <w:p>
            <w:pPr>
              <w:spacing w:after="0"/>
            </w:pPr>
            <w:r/>
            <w:r>
              <w:rPr>
                <w:rFonts w:ascii="Microsoft YaHei" w:hAnsi="Microsoft YaHei" w:eastAsia="微软雅黑"/>
                <w:b w:val="0"/>
                <w:sz w:val="18"/>
              </w:rPr>
              <w:t>高证据</w:t>
            </w:r>
          </w:p>
        </w:tc>
        <w:tc>
          <w:tcPr>
            <w:tcW w:type="dxa" w:w="1728"/>
            <w:vAlign w:val="top"/>
          </w:tcPr>
          <w:p>
            <w:pPr>
              <w:spacing w:after="0"/>
            </w:pPr>
            <w:r/>
            <w:r>
              <w:rPr>
                <w:rFonts w:ascii="Microsoft YaHei" w:hAnsi="Microsoft YaHei" w:eastAsia="微软雅黑"/>
                <w:b w:val="0"/>
                <w:sz w:val="18"/>
              </w:rPr>
              <w:t>9</w:t>
            </w:r>
          </w:p>
        </w:tc>
      </w:tr>
      <w:tr>
        <w:tc>
          <w:tcPr>
            <w:tcW w:type="dxa" w:w="2880"/>
            <w:vAlign w:val="top"/>
          </w:tcPr>
          <w:p>
            <w:pPr>
              <w:spacing w:after="0"/>
            </w:pPr>
            <w:r/>
            <w:r>
              <w:rPr>
                <w:rFonts w:ascii="Microsoft YaHei" w:hAnsi="Microsoft YaHei" w:eastAsia="微软雅黑"/>
                <w:b w:val="0"/>
                <w:sz w:val="18"/>
              </w:rPr>
              <w:t>KOL/专家记录</w:t>
            </w:r>
          </w:p>
        </w:tc>
        <w:tc>
          <w:tcPr>
            <w:tcW w:type="dxa" w:w="1728"/>
            <w:vAlign w:val="top"/>
          </w:tcPr>
          <w:p>
            <w:pPr>
              <w:spacing w:after="0"/>
            </w:pPr>
            <w:r/>
            <w:r>
              <w:rPr>
                <w:rFonts w:ascii="Microsoft YaHei" w:hAnsi="Microsoft YaHei" w:eastAsia="微软雅黑"/>
                <w:b w:val="0"/>
                <w:sz w:val="18"/>
              </w:rPr>
              <w:t>12</w:t>
            </w:r>
          </w:p>
        </w:tc>
      </w:tr>
      <w:tr>
        <w:tc>
          <w:tcPr>
            <w:tcW w:type="dxa" w:w="2880"/>
            <w:vAlign w:val="top"/>
          </w:tcPr>
          <w:p>
            <w:pPr>
              <w:spacing w:after="0"/>
            </w:pPr>
            <w:r/>
            <w:r>
              <w:rPr>
                <w:rFonts w:ascii="Microsoft YaHei" w:hAnsi="Microsoft YaHei" w:eastAsia="微软雅黑"/>
                <w:b w:val="0"/>
                <w:sz w:val="18"/>
              </w:rPr>
              <w:t>涉及专家</w:t>
            </w:r>
          </w:p>
        </w:tc>
        <w:tc>
          <w:tcPr>
            <w:tcW w:type="dxa" w:w="1728"/>
            <w:vAlign w:val="top"/>
          </w:tcPr>
          <w:p>
            <w:pPr>
              <w:spacing w:after="0"/>
            </w:pPr>
            <w:r/>
            <w:r>
              <w:rPr>
                <w:rFonts w:ascii="Microsoft YaHei" w:hAnsi="Microsoft YaHei" w:eastAsia="微软雅黑"/>
                <w:b w:val="0"/>
                <w:sz w:val="18"/>
              </w:rPr>
              <w:t>9</w:t>
            </w:r>
          </w:p>
        </w:tc>
      </w:tr>
      <w:tr>
        <w:tc>
          <w:tcPr>
            <w:tcW w:type="dxa" w:w="2880"/>
            <w:vAlign w:val="top"/>
          </w:tcPr>
          <w:p>
            <w:pPr>
              <w:spacing w:after="0"/>
            </w:pPr>
            <w:r/>
            <w:r>
              <w:rPr>
                <w:rFonts w:ascii="Microsoft YaHei" w:hAnsi="Microsoft YaHei" w:eastAsia="微软雅黑"/>
                <w:b w:val="0"/>
                <w:sz w:val="18"/>
              </w:rPr>
              <w:t>涉及机构</w:t>
            </w:r>
          </w:p>
        </w:tc>
        <w:tc>
          <w:tcPr>
            <w:tcW w:type="dxa" w:w="1728"/>
            <w:vAlign w:val="top"/>
          </w:tcPr>
          <w:p>
            <w:pPr>
              <w:spacing w:after="0"/>
            </w:pPr>
            <w:r/>
            <w:r>
              <w:rPr>
                <w:rFonts w:ascii="Microsoft YaHei" w:hAnsi="Microsoft YaHei" w:eastAsia="微软雅黑"/>
                <w:b w:val="0"/>
                <w:sz w:val="18"/>
              </w:rPr>
              <w:t>8</w:t>
            </w:r>
          </w:p>
        </w:tc>
      </w:tr>
    </w:tbl>
    <w:p>
      <w:pPr>
        <w:pStyle w:val="Heading1"/>
      </w:pPr>
      <w:r>
        <w:t>二、本月结论</w:t>
      </w:r>
    </w:p>
    <w:p>
      <w:pPr>
        <w:pStyle w:val="ListBullet"/>
      </w:pPr>
      <w:r>
        <w:rPr>
          <w:rFonts w:ascii="Microsoft YaHei" w:hAnsi="Microsoft YaHei" w:eastAsia="微软雅黑"/>
          <w:sz w:val="21"/>
        </w:rPr>
        <w:t>6月共纳入 35 条产品/竞品研究进展，其中 19 条建议跟进，9 条为高证据。</w:t>
      </w:r>
    </w:p>
    <w:p>
      <w:pPr>
        <w:pStyle w:val="ListBullet"/>
      </w:pPr>
      <w:r>
        <w:rPr>
          <w:rFonts w:ascii="Microsoft YaHei" w:hAnsi="Microsoft YaHei" w:eastAsia="微软雅黑"/>
          <w:sz w:val="21"/>
        </w:rPr>
        <w:t>产品进展主要来源于：PubMed 23条；Clinical 9条；万方 3条。</w:t>
      </w:r>
    </w:p>
    <w:p>
      <w:pPr>
        <w:pStyle w:val="ListBullet"/>
      </w:pPr>
      <w:r>
        <w:rPr>
          <w:rFonts w:ascii="Microsoft YaHei" w:hAnsi="Microsoft YaHei" w:eastAsia="微软雅黑"/>
          <w:sz w:val="21"/>
        </w:rPr>
        <w:t>本月关注口径集中在：复方/机制竞品；代文/倍博特相关；同类竞品；心痛定/拜新同；本品/同成分；络活喜及氨氯地平仿制药；复方/机制竞品；傲坦相关。</w:t>
      </w:r>
    </w:p>
    <w:p>
      <w:pPr>
        <w:pStyle w:val="ListBullet"/>
      </w:pPr>
      <w:r>
        <w:rPr>
          <w:rFonts w:ascii="Microsoft YaHei" w:hAnsi="Microsoft YaHei" w:eastAsia="微软雅黑"/>
          <w:sz w:val="21"/>
        </w:rPr>
        <w:t>KOL/专家侧共 12 条记录，涉及 9 位专家、8 家机构；来源构成为：PubMed 10条；微信公众号 2条。</w:t>
      </w:r>
    </w:p>
    <w:p>
      <w:pPr>
        <w:pStyle w:val="ListBullet"/>
      </w:pPr>
      <w:r>
        <w:rPr>
          <w:rFonts w:ascii="Microsoft YaHei" w:hAnsi="Microsoft YaHei" w:eastAsia="微软雅黑"/>
          <w:sz w:val="21"/>
        </w:rPr>
        <w:t>涉及分子/靶点高频出现：Amlodipine besylate / C26H31ClN2O8S；缬沙坦 / valsartan / C24H29N5O3；硝苯地平 / nifedipine / C17H18N2O6；苯磺酸氨氯地平 / amlodipine besylate / C26H31ClN2O8S；奥美沙坦酯 / olmesartan medoxomil / C29H30N6O6；非洛地平 / felodipine / C18H19Cl2NO4。</w:t>
      </w:r>
    </w:p>
    <w:p>
      <w:pPr>
        <w:pStyle w:val="Heading1"/>
      </w:pPr>
      <w:r>
        <w:t>三、重点关注事项</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080"/>
            <w:vAlign w:val="top"/>
            <w:shd w:fill="0F766D"/>
          </w:tcPr>
          <w:p>
            <w:pPr>
              <w:spacing w:after="0"/>
            </w:pPr>
            <w:r/>
            <w:r>
              <w:rPr>
                <w:rFonts w:ascii="Microsoft YaHei" w:hAnsi="Microsoft YaHei" w:eastAsia="微软雅黑"/>
                <w:b/>
                <w:color w:val="FFFFFF"/>
                <w:sz w:val="18"/>
              </w:rPr>
              <w:t>来源</w:t>
            </w:r>
          </w:p>
        </w:tc>
        <w:tc>
          <w:tcPr>
            <w:tcW w:type="dxa" w:w="1944"/>
            <w:vAlign w:val="top"/>
            <w:shd w:fill="0F766D"/>
          </w:tcPr>
          <w:p>
            <w:pPr>
              <w:spacing w:after="0"/>
            </w:pPr>
            <w:r/>
            <w:r>
              <w:rPr>
                <w:rFonts w:ascii="Microsoft YaHei" w:hAnsi="Microsoft YaHei" w:eastAsia="微软雅黑"/>
                <w:b/>
                <w:color w:val="FFFFFF"/>
                <w:sz w:val="18"/>
              </w:rPr>
              <w:t>产品/竞品口径</w:t>
            </w:r>
          </w:p>
        </w:tc>
        <w:tc>
          <w:tcPr>
            <w:tcW w:type="dxa" w:w="1224"/>
            <w:vAlign w:val="top"/>
            <w:shd w:fill="0F766D"/>
          </w:tcPr>
          <w:p>
            <w:pPr>
              <w:spacing w:after="0"/>
            </w:pPr>
            <w:r/>
            <w:r>
              <w:rPr>
                <w:rFonts w:ascii="Microsoft YaHei" w:hAnsi="Microsoft YaHei" w:eastAsia="微软雅黑"/>
                <w:b/>
                <w:color w:val="FFFFFF"/>
                <w:sz w:val="18"/>
              </w:rPr>
              <w:t>证据/跟进</w:t>
            </w:r>
          </w:p>
        </w:tc>
        <w:tc>
          <w:tcPr>
            <w:tcW w:type="dxa" w:w="2448"/>
            <w:vAlign w:val="top"/>
            <w:shd w:fill="0F766D"/>
          </w:tcPr>
          <w:p>
            <w:pPr>
              <w:spacing w:after="0"/>
            </w:pPr>
            <w:r/>
            <w:r>
              <w:rPr>
                <w:rFonts w:ascii="Microsoft YaHei" w:hAnsi="Microsoft YaHei" w:eastAsia="微软雅黑"/>
                <w:b/>
                <w:color w:val="FFFFFF"/>
                <w:sz w:val="18"/>
              </w:rPr>
              <w:t>标题/事件</w:t>
            </w:r>
          </w:p>
        </w:tc>
        <w:tc>
          <w:tcPr>
            <w:tcW w:type="dxa" w:w="3096"/>
            <w:vAlign w:val="top"/>
            <w:shd w:fill="0F766D"/>
          </w:tcPr>
          <w:p>
            <w:pPr>
              <w:spacing w:after="0"/>
            </w:pPr>
            <w:r/>
            <w:r>
              <w:rPr>
                <w:rFonts w:ascii="Microsoft YaHei" w:hAnsi="Microsoft YaHei" w:eastAsia="微软雅黑"/>
                <w:b/>
                <w:color w:val="FFFFFF"/>
                <w:sz w:val="18"/>
              </w:rPr>
              <w:t>核心内容摘要</w:t>
            </w:r>
          </w:p>
        </w:tc>
        <w:tc>
          <w:tcPr>
            <w:tcW w:type="dxa" w:w="2160"/>
            <w:vAlign w:val="top"/>
            <w:shd w:fill="0F766D"/>
          </w:tcPr>
          <w:p>
            <w:pPr>
              <w:spacing w:after="0"/>
            </w:pPr>
            <w:r/>
            <w:r>
              <w:rPr>
                <w:rFonts w:ascii="Microsoft YaHei" w:hAnsi="Microsoft YaHei" w:eastAsia="微软雅黑"/>
                <w:b/>
                <w:color w:val="FFFFFF"/>
                <w:sz w:val="18"/>
              </w:rPr>
              <w:t>影响判断</w:t>
            </w:r>
          </w:p>
        </w:tc>
      </w:tr>
      <w:tr>
        <w:tc>
          <w:tcPr>
            <w:tcW w:type="dxa" w:w="1152"/>
            <w:vAlign w:val="top"/>
          </w:tcPr>
          <w:p>
            <w:pPr>
              <w:spacing w:after="0"/>
            </w:pPr>
            <w:r/>
            <w:r>
              <w:rPr>
                <w:rFonts w:ascii="Microsoft YaHei" w:hAnsi="Microsoft YaHei" w:eastAsia="微软雅黑"/>
                <w:b w:val="0"/>
                <w:sz w:val="18"/>
              </w:rPr>
              <w:t>2026-06-16</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同类竞品；心痛定/拜新同</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硝苯地平相关 ClinicalTrials.gov 临床研究更新（NCT07649668）</w:t>
            </w:r>
          </w:p>
        </w:tc>
        <w:tc>
          <w:tcPr>
            <w:tcW w:type="dxa" w:w="3096"/>
            <w:vAlign w:val="top"/>
          </w:tcPr>
          <w:p>
            <w:pPr>
              <w:spacing w:after="0"/>
            </w:pPr>
            <w:r/>
            <w:r>
              <w:rPr>
                <w:rFonts w:ascii="Microsoft YaHei" w:hAnsi="Microsoft YaHei" w:eastAsia="微软雅黑"/>
                <w:b w:val="0"/>
                <w:sz w:val="18"/>
              </w:rPr>
              <w:t>ClinicalTrials.gov 研究：Threatened Preterm Labour: Vaginal Progesterone Versus Nifedipine；NCT：NCT07649668；状态：已完成；阶段：PHASE4；适应症/疾病：Preterm Labor；（详见网站明细）</w:t>
            </w:r>
          </w:p>
        </w:tc>
        <w:tc>
          <w:tcPr>
            <w:tcW w:type="dxa" w:w="2160"/>
            <w:vAlign w:val="top"/>
          </w:tcPr>
          <w:p>
            <w:pPr>
              <w:spacing w:after="0"/>
            </w:pPr>
            <w:r/>
            <w:r>
              <w:rPr>
                <w:rFonts w:ascii="Microsoft YaHei" w:hAnsi="Microsoft YaHei" w:eastAsia="微软雅黑"/>
                <w:b w:val="0"/>
                <w:sz w:val="18"/>
              </w:rPr>
              <w:t>CCB 同类替代；建议查看研究设计、入排标准和终点，判断对络活喜或同机制竞品监测的影响。</w:t>
            </w:r>
          </w:p>
        </w:tc>
      </w:tr>
      <w:tr>
        <w:tc>
          <w:tcPr>
            <w:tcW w:type="dxa" w:w="1152"/>
            <w:vAlign w:val="top"/>
          </w:tcPr>
          <w:p>
            <w:pPr>
              <w:spacing w:after="0"/>
            </w:pPr>
            <w:r/>
            <w:r>
              <w:rPr>
                <w:rFonts w:ascii="Microsoft YaHei" w:hAnsi="Microsoft YaHei" w:eastAsia="微软雅黑"/>
                <w:b w:val="0"/>
                <w:sz w:val="18"/>
              </w:rPr>
              <w:t>2026-06-08</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复方/机制竞品；代文/倍博特相关</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缬沙坦相关 ClinicalTrials.gov 临床研究更新（NCT05991284）</w:t>
            </w:r>
          </w:p>
        </w:tc>
        <w:tc>
          <w:tcPr>
            <w:tcW w:type="dxa" w:w="3096"/>
            <w:vAlign w:val="top"/>
          </w:tcPr>
          <w:p>
            <w:pPr>
              <w:spacing w:after="0"/>
            </w:pPr>
            <w:r/>
            <w:r>
              <w:rPr>
                <w:rFonts w:ascii="Microsoft YaHei" w:hAnsi="Microsoft YaHei" w:eastAsia="微软雅黑"/>
                <w:b w:val="0"/>
                <w:sz w:val="18"/>
              </w:rPr>
              <w:t>ClinicalTrials.gov 研究：Sacubitril-Valsartan in Heart Failure With Preserved Ejection Fraction and Secondary Mitral Valve Regurgitation；NCT：NCT05991284；（详见网站明细）</w:t>
            </w:r>
          </w:p>
        </w:tc>
        <w:tc>
          <w:tcPr>
            <w:tcW w:type="dxa" w:w="2160"/>
            <w:vAlign w:val="top"/>
          </w:tcPr>
          <w:p>
            <w:pPr>
              <w:spacing w:after="0"/>
            </w:pPr>
            <w:r/>
            <w:r>
              <w:rPr>
                <w:rFonts w:ascii="Microsoft YaHei" w:hAnsi="Microsoft YaHei" w:eastAsia="微软雅黑"/>
                <w:b w:val="0"/>
                <w:sz w:val="18"/>
              </w:rPr>
              <w:t>ARB/CCB 复方替代或联合；建议查看研究设计、入排标准和终点，判断对络活喜或同机制竞品监测的影响。</w:t>
            </w:r>
          </w:p>
        </w:tc>
      </w:tr>
      <w:tr>
        <w:tc>
          <w:tcPr>
            <w:tcW w:type="dxa" w:w="1152"/>
            <w:vAlign w:val="top"/>
          </w:tcPr>
          <w:p>
            <w:pPr>
              <w:spacing w:after="0"/>
            </w:pPr>
            <w:r/>
            <w:r>
              <w:rPr>
                <w:rFonts w:ascii="Microsoft YaHei" w:hAnsi="Microsoft YaHei" w:eastAsia="微软雅黑"/>
                <w:b w:val="0"/>
                <w:sz w:val="18"/>
              </w:rPr>
              <w:t>2026-06-05</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同类竞品；心痛定/拜新同</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硝苯地平相关 ClinicalTrials.gov 临床研究更新（NCT06915792）</w:t>
            </w:r>
          </w:p>
        </w:tc>
        <w:tc>
          <w:tcPr>
            <w:tcW w:type="dxa" w:w="3096"/>
            <w:vAlign w:val="top"/>
          </w:tcPr>
          <w:p>
            <w:pPr>
              <w:spacing w:after="0"/>
            </w:pPr>
            <w:r/>
            <w:r>
              <w:rPr>
                <w:rFonts w:ascii="Microsoft YaHei" w:hAnsi="Microsoft YaHei" w:eastAsia="微软雅黑"/>
                <w:b w:val="0"/>
                <w:sz w:val="18"/>
              </w:rPr>
              <w:t>ClinicalTrials.gov 研究：PEACE Trial: Postpartum Evaluation of Antihypertensive Cessation and Efficacy；NCT：NCT06915792；状态：RECRUITING；阶段：PHASE4；（详见网站明细）</w:t>
            </w:r>
          </w:p>
        </w:tc>
        <w:tc>
          <w:tcPr>
            <w:tcW w:type="dxa" w:w="2160"/>
            <w:vAlign w:val="top"/>
          </w:tcPr>
          <w:p>
            <w:pPr>
              <w:spacing w:after="0"/>
            </w:pPr>
            <w:r/>
            <w:r>
              <w:rPr>
                <w:rFonts w:ascii="Microsoft YaHei" w:hAnsi="Microsoft YaHei" w:eastAsia="微软雅黑"/>
                <w:b w:val="0"/>
                <w:sz w:val="18"/>
              </w:rPr>
              <w:t>CCB 同类替代；建议查看研究设计、入排标准和终点，判断对络活喜或同机制竞品监测的影响。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络活喜</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左氨氯地平与氨氯地平踝部水肿比较研究</w:t>
            </w:r>
          </w:p>
        </w:tc>
        <w:tc>
          <w:tcPr>
            <w:tcW w:type="dxa" w:w="3096"/>
            <w:vAlign w:val="top"/>
          </w:tcPr>
          <w:p>
            <w:pPr>
              <w:spacing w:after="0"/>
            </w:pPr>
            <w:r/>
            <w:r>
              <w:rPr>
                <w:rFonts w:ascii="Microsoft YaHei" w:hAnsi="Microsoft YaHei" w:eastAsia="微软雅黑"/>
                <w:b w:val="0"/>
                <w:sz w:val="18"/>
              </w:rPr>
              <w:t>拟比较左氨氯地平与氨氯地平在绝经后轻度高血压女性中的踝部水肿。</w:t>
            </w:r>
          </w:p>
        </w:tc>
        <w:tc>
          <w:tcPr>
            <w:tcW w:type="dxa" w:w="2160"/>
            <w:vAlign w:val="top"/>
          </w:tcPr>
          <w:p>
            <w:pPr>
              <w:spacing w:after="0"/>
            </w:pPr>
            <w:r/>
            <w:r>
              <w:rPr>
                <w:rFonts w:ascii="Microsoft YaHei" w:hAnsi="Microsoft YaHei" w:eastAsia="微软雅黑"/>
                <w:b w:val="0"/>
                <w:sz w:val="18"/>
              </w:rPr>
              <w:t>直接触及氨氯地平常见不良反应差异化竞争点。</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万方</w:t>
            </w:r>
          </w:p>
        </w:tc>
        <w:tc>
          <w:tcPr>
            <w:tcW w:type="dxa" w:w="1944"/>
            <w:vAlign w:val="top"/>
          </w:tcPr>
          <w:p>
            <w:pPr>
              <w:spacing w:after="0"/>
            </w:pPr>
            <w:r/>
            <w:r>
              <w:rPr>
                <w:rFonts w:ascii="Microsoft YaHei" w:hAnsi="Microsoft YaHei" w:eastAsia="微软雅黑"/>
                <w:b w:val="0"/>
                <w:sz w:val="18"/>
              </w:rPr>
              <w:t>同类竞品；心痛定/拜新同</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硝苯地平相关万方中文文献发布</w:t>
            </w:r>
          </w:p>
        </w:tc>
        <w:tc>
          <w:tcPr>
            <w:tcW w:type="dxa" w:w="3096"/>
            <w:vAlign w:val="top"/>
          </w:tcPr>
          <w:p>
            <w:pPr>
              <w:spacing w:after="0"/>
            </w:pPr>
            <w:r/>
            <w:r>
              <w:rPr>
                <w:rFonts w:ascii="Microsoft YaHei" w:hAnsi="Microsoft YaHei" w:eastAsia="微软雅黑"/>
                <w:b w:val="0"/>
                <w:sz w:val="18"/>
              </w:rPr>
              <w:t>题名：硝苯地平对妊娠高血压患者凝血功能、血压的影响；来源：妇儿健康导刊；作者：胡立香；关键词：妊娠高血压硝苯地平凝血功能血压水平拉贝洛尔母婴结局不良反应；检索词：硝苯地平；发表时间：2026-06-01。（详见网站明细）</w:t>
            </w:r>
          </w:p>
        </w:tc>
        <w:tc>
          <w:tcPr>
            <w:tcW w:type="dxa" w:w="2160"/>
            <w:vAlign w:val="top"/>
          </w:tcPr>
          <w:p>
            <w:pPr>
              <w:spacing w:after="0"/>
            </w:pPr>
            <w:r/>
            <w:r>
              <w:rPr>
                <w:rFonts w:ascii="Microsoft YaHei" w:hAnsi="Microsoft YaHei" w:eastAsia="微软雅黑"/>
                <w:b w:val="0"/>
                <w:sz w:val="18"/>
              </w:rPr>
              <w:t>CCB 同类替代；作为中文文献补充，建议评估该研究对络活喜医学信息、中文证据沟通或竞品监测的影响。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PubMed</w:t>
            </w:r>
          </w:p>
        </w:tc>
        <w:tc>
          <w:tcPr>
            <w:tcW w:type="dxa" w:w="1944"/>
            <w:vAlign w:val="top"/>
          </w:tcPr>
          <w:p>
            <w:pPr>
              <w:spacing w:after="0"/>
            </w:pPr>
            <w:r/>
            <w:r>
              <w:rPr>
                <w:rFonts w:ascii="Microsoft YaHei" w:hAnsi="Microsoft YaHei" w:eastAsia="微软雅黑"/>
                <w:b w:val="0"/>
                <w:sz w:val="18"/>
              </w:rPr>
              <w:t>本品/同成分；络活喜及氨氯地平仿制药</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苯磺酸氨氯地平相关 PubMed 论文发布（PMID 41895048）</w:t>
            </w:r>
          </w:p>
        </w:tc>
        <w:tc>
          <w:tcPr>
            <w:tcW w:type="dxa" w:w="3096"/>
            <w:vAlign w:val="top"/>
          </w:tcPr>
          <w:p>
            <w:pPr>
              <w:spacing w:after="0"/>
            </w:pPr>
            <w:r/>
            <w:r>
              <w:rPr>
                <w:rFonts w:ascii="Microsoft YaHei" w:hAnsi="Microsoft YaHei" w:eastAsia="微软雅黑"/>
                <w:b w:val="0"/>
                <w:sz w:val="18"/>
              </w:rPr>
              <w:t>临床研究：络活喜及氨氯地平仿制药（本品/同成分）相关更新，聚焦“高血压中的临床疗效和安全性”。对络活喜的跟踪意义：同成分价格与一致性评价竞争。优先阅读原文方法和结论，判断是否形成可引用证据。</w:t>
            </w:r>
          </w:p>
        </w:tc>
        <w:tc>
          <w:tcPr>
            <w:tcW w:type="dxa" w:w="2160"/>
            <w:vAlign w:val="top"/>
          </w:tcPr>
          <w:p>
            <w:pPr>
              <w:spacing w:after="0"/>
            </w:pPr>
            <w:r/>
            <w:r>
              <w:rPr>
                <w:rFonts w:ascii="Microsoft YaHei" w:hAnsi="Microsoft YaHei" w:eastAsia="微软雅黑"/>
                <w:b w:val="0"/>
                <w:sz w:val="18"/>
              </w:rPr>
              <w:t>同成分价格与一致性评价竞争；建议评估该更新对络活喜相关医学信息、竞品监测或风险沟通的影响。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PubMed</w:t>
            </w:r>
          </w:p>
        </w:tc>
        <w:tc>
          <w:tcPr>
            <w:tcW w:type="dxa" w:w="1944"/>
            <w:vAlign w:val="top"/>
          </w:tcPr>
          <w:p>
            <w:pPr>
              <w:spacing w:after="0"/>
            </w:pPr>
            <w:r/>
            <w:r>
              <w:rPr>
                <w:rFonts w:ascii="Microsoft YaHei" w:hAnsi="Microsoft YaHei" w:eastAsia="微软雅黑"/>
                <w:b w:val="0"/>
                <w:sz w:val="18"/>
              </w:rPr>
              <w:t>同类竞品；心痛定/拜新同</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硝苯地平相关 PubMed 论文发布（PMID 41989019）</w:t>
            </w:r>
          </w:p>
        </w:tc>
        <w:tc>
          <w:tcPr>
            <w:tcW w:type="dxa" w:w="3096"/>
            <w:vAlign w:val="top"/>
          </w:tcPr>
          <w:p>
            <w:pPr>
              <w:spacing w:after="0"/>
            </w:pPr>
            <w:r/>
            <w:r>
              <w:rPr>
                <w:rFonts w:ascii="Microsoft YaHei" w:hAnsi="Microsoft YaHei" w:eastAsia="微软雅黑"/>
                <w:b w:val="0"/>
                <w:sz w:val="18"/>
              </w:rPr>
              <w:t>临床研究：心痛定/拜新同（同类竞品）相关更新，聚焦“临床疗效和安全性”。对络活喜的跟踪意义：CCB 同类替代。优先阅读原文方法和结论，判断是否形成可引用证据。</w:t>
            </w:r>
          </w:p>
        </w:tc>
        <w:tc>
          <w:tcPr>
            <w:tcW w:type="dxa" w:w="2160"/>
            <w:vAlign w:val="top"/>
          </w:tcPr>
          <w:p>
            <w:pPr>
              <w:spacing w:after="0"/>
            </w:pPr>
            <w:r/>
            <w:r>
              <w:rPr>
                <w:rFonts w:ascii="Microsoft YaHei" w:hAnsi="Microsoft YaHei" w:eastAsia="微软雅黑"/>
                <w:b w:val="0"/>
                <w:sz w:val="18"/>
              </w:rPr>
              <w:t>CCB 同类替代；建议评估该更新对络活喜相关医学信息、竞品监测或风险沟通的影响。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PubMed</w:t>
            </w:r>
          </w:p>
        </w:tc>
        <w:tc>
          <w:tcPr>
            <w:tcW w:type="dxa" w:w="1944"/>
            <w:vAlign w:val="top"/>
          </w:tcPr>
          <w:p>
            <w:pPr>
              <w:spacing w:after="0"/>
            </w:pPr>
            <w:r/>
            <w:r>
              <w:rPr>
                <w:rFonts w:ascii="Microsoft YaHei" w:hAnsi="Microsoft YaHei" w:eastAsia="微软雅黑"/>
                <w:b w:val="0"/>
                <w:sz w:val="18"/>
              </w:rPr>
              <w:t>复方/机制竞品；代文/倍博特相关</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缬沙坦相关 PubMed 论文发布（PMID 42228808）</w:t>
            </w:r>
          </w:p>
        </w:tc>
        <w:tc>
          <w:tcPr>
            <w:tcW w:type="dxa" w:w="3096"/>
            <w:vAlign w:val="top"/>
          </w:tcPr>
          <w:p>
            <w:pPr>
              <w:spacing w:after="0"/>
            </w:pPr>
            <w:r/>
            <w:r>
              <w:rPr>
                <w:rFonts w:ascii="Microsoft YaHei" w:hAnsi="Microsoft YaHei" w:eastAsia="微软雅黑"/>
                <w:b w:val="0"/>
                <w:sz w:val="18"/>
              </w:rPr>
              <w:t>系统综述/荟萃分析：代文/倍博特相关（复方/机制竞品）相关更新，聚焦“安全性和不良反应”。对络活喜的跟踪意义：ARB/CCB 复方替代或联合。优先阅读原文方法和结论，判断是否形成可引用证据。</w:t>
            </w:r>
          </w:p>
        </w:tc>
        <w:tc>
          <w:tcPr>
            <w:tcW w:type="dxa" w:w="2160"/>
            <w:vAlign w:val="top"/>
          </w:tcPr>
          <w:p>
            <w:pPr>
              <w:spacing w:after="0"/>
            </w:pPr>
            <w:r/>
            <w:r>
              <w:rPr>
                <w:rFonts w:ascii="Microsoft YaHei" w:hAnsi="Microsoft YaHei" w:eastAsia="微软雅黑"/>
                <w:b w:val="0"/>
                <w:sz w:val="18"/>
              </w:rPr>
              <w:t>ARB/CCB 复方替代或联合；建议评估该更新对络活喜相关医学信息、竞品监测或风险沟通的影响。</w:t>
            </w:r>
          </w:p>
        </w:tc>
      </w:tr>
      <w:tr>
        <w:tc>
          <w:tcPr>
            <w:tcW w:type="dxa" w:w="1152"/>
            <w:vAlign w:val="top"/>
          </w:tcPr>
          <w:p>
            <w:pPr>
              <w:spacing w:after="0"/>
            </w:pPr>
            <w:r/>
            <w:r>
              <w:rPr>
                <w:rFonts w:ascii="Microsoft YaHei" w:hAnsi="Microsoft YaHei" w:eastAsia="微软雅黑"/>
                <w:b w:val="0"/>
                <w:sz w:val="18"/>
              </w:rPr>
              <w:t>2026-06-01</w:t>
            </w:r>
          </w:p>
        </w:tc>
        <w:tc>
          <w:tcPr>
            <w:tcW w:type="dxa" w:w="1080"/>
            <w:vAlign w:val="top"/>
          </w:tcPr>
          <w:p>
            <w:pPr>
              <w:spacing w:after="0"/>
            </w:pPr>
            <w:r/>
            <w:r>
              <w:rPr>
                <w:rFonts w:ascii="Microsoft YaHei" w:hAnsi="Microsoft YaHei" w:eastAsia="微软雅黑"/>
                <w:b w:val="0"/>
                <w:sz w:val="18"/>
              </w:rPr>
              <w:t>PubMed</w:t>
            </w:r>
          </w:p>
        </w:tc>
        <w:tc>
          <w:tcPr>
            <w:tcW w:type="dxa" w:w="1944"/>
            <w:vAlign w:val="top"/>
          </w:tcPr>
          <w:p>
            <w:pPr>
              <w:spacing w:after="0"/>
            </w:pPr>
            <w:r/>
            <w:r>
              <w:rPr>
                <w:rFonts w:ascii="Microsoft YaHei" w:hAnsi="Microsoft YaHei" w:eastAsia="微软雅黑"/>
                <w:b w:val="0"/>
                <w:sz w:val="18"/>
              </w:rPr>
              <w:t>复方/机制竞品；傲坦相关</w:t>
            </w:r>
          </w:p>
        </w:tc>
        <w:tc>
          <w:tcPr>
            <w:tcW w:type="dxa" w:w="1224"/>
            <w:vAlign w:val="top"/>
          </w:tcPr>
          <w:p>
            <w:pPr>
              <w:spacing w:after="0"/>
            </w:pPr>
            <w:r/>
            <w:r>
              <w:rPr>
                <w:rFonts w:ascii="Microsoft YaHei" w:hAnsi="Microsoft YaHei" w:eastAsia="微软雅黑"/>
                <w:b w:val="0"/>
                <w:sz w:val="18"/>
              </w:rPr>
              <w:t>高 / 是</w:t>
            </w:r>
          </w:p>
        </w:tc>
        <w:tc>
          <w:tcPr>
            <w:tcW w:type="dxa" w:w="2448"/>
            <w:vAlign w:val="top"/>
          </w:tcPr>
          <w:p>
            <w:pPr>
              <w:spacing w:after="0"/>
            </w:pPr>
            <w:r/>
            <w:r>
              <w:rPr>
                <w:rFonts w:ascii="Microsoft YaHei" w:hAnsi="Microsoft YaHei" w:eastAsia="微软雅黑"/>
                <w:b w:val="0"/>
                <w:sz w:val="18"/>
              </w:rPr>
              <w:t>奥美沙坦酯相关 PubMed 论文发布（PMID 42002633）</w:t>
            </w:r>
          </w:p>
        </w:tc>
        <w:tc>
          <w:tcPr>
            <w:tcW w:type="dxa" w:w="3096"/>
            <w:vAlign w:val="top"/>
          </w:tcPr>
          <w:p>
            <w:pPr>
              <w:spacing w:after="0"/>
            </w:pPr>
            <w:r/>
            <w:r>
              <w:rPr>
                <w:rFonts w:ascii="Microsoft YaHei" w:hAnsi="Microsoft YaHei" w:eastAsia="微软雅黑"/>
                <w:b w:val="0"/>
                <w:sz w:val="18"/>
              </w:rPr>
              <w:t>论文：傲坦相关（复方/机制竞品）相关更新，聚焦“高血压相关研究线索”。对络活喜的跟踪意义：ARB/CCB 复方替代或联合。可作为机制、适应症外延或安全性线索继续跟踪。</w:t>
            </w:r>
          </w:p>
        </w:tc>
        <w:tc>
          <w:tcPr>
            <w:tcW w:type="dxa" w:w="2160"/>
            <w:vAlign w:val="top"/>
          </w:tcPr>
          <w:p>
            <w:pPr>
              <w:spacing w:after="0"/>
            </w:pPr>
            <w:r/>
            <w:r>
              <w:rPr>
                <w:rFonts w:ascii="Microsoft YaHei" w:hAnsi="Microsoft YaHei" w:eastAsia="微软雅黑"/>
                <w:b w:val="0"/>
                <w:sz w:val="18"/>
              </w:rPr>
              <w:t>ARB/CCB 复方替代或联合；建议评估该更新对络活喜相关医学信息、竞品监测或风险沟通的影响。</w:t>
            </w:r>
          </w:p>
        </w:tc>
      </w:tr>
      <w:tr>
        <w:tc>
          <w:tcPr>
            <w:tcW w:type="dxa" w:w="1152"/>
            <w:vAlign w:val="top"/>
          </w:tcPr>
          <w:p>
            <w:pPr>
              <w:spacing w:after="0"/>
            </w:pPr>
            <w:r/>
            <w:r>
              <w:rPr>
                <w:rFonts w:ascii="Microsoft YaHei" w:hAnsi="Microsoft YaHei" w:eastAsia="微软雅黑"/>
                <w:b w:val="0"/>
                <w:sz w:val="18"/>
              </w:rPr>
              <w:t>2026-06-18</w:t>
            </w:r>
          </w:p>
        </w:tc>
        <w:tc>
          <w:tcPr>
            <w:tcW w:type="dxa" w:w="1080"/>
            <w:vAlign w:val="top"/>
          </w:tcPr>
          <w:p>
            <w:pPr>
              <w:spacing w:after="0"/>
            </w:pPr>
            <w:r/>
            <w:r>
              <w:rPr>
                <w:rFonts w:ascii="Microsoft YaHei" w:hAnsi="Microsoft YaHei" w:eastAsia="微软雅黑"/>
                <w:b w:val="0"/>
                <w:sz w:val="18"/>
              </w:rPr>
              <w:t>Clinical</w:t>
            </w:r>
          </w:p>
        </w:tc>
        <w:tc>
          <w:tcPr>
            <w:tcW w:type="dxa" w:w="1944"/>
            <w:vAlign w:val="top"/>
          </w:tcPr>
          <w:p>
            <w:pPr>
              <w:spacing w:after="0"/>
            </w:pPr>
            <w:r/>
            <w:r>
              <w:rPr>
                <w:rFonts w:ascii="Microsoft YaHei" w:hAnsi="Microsoft YaHei" w:eastAsia="微软雅黑"/>
                <w:b w:val="0"/>
                <w:sz w:val="18"/>
              </w:rPr>
              <w:t>复方/机制竞品；美卡素/复方氨氯地平替米沙坦</w:t>
            </w:r>
          </w:p>
        </w:tc>
        <w:tc>
          <w:tcPr>
            <w:tcW w:type="dxa" w:w="1224"/>
            <w:vAlign w:val="top"/>
          </w:tcPr>
          <w:p>
            <w:pPr>
              <w:spacing w:after="0"/>
            </w:pPr>
            <w:r/>
            <w:r>
              <w:rPr>
                <w:rFonts w:ascii="Microsoft YaHei" w:hAnsi="Microsoft YaHei" w:eastAsia="微软雅黑"/>
                <w:b w:val="0"/>
                <w:sz w:val="18"/>
              </w:rPr>
              <w:t>中 / 是</w:t>
            </w:r>
          </w:p>
        </w:tc>
        <w:tc>
          <w:tcPr>
            <w:tcW w:type="dxa" w:w="2448"/>
            <w:vAlign w:val="top"/>
          </w:tcPr>
          <w:p>
            <w:pPr>
              <w:spacing w:after="0"/>
            </w:pPr>
            <w:r/>
            <w:r>
              <w:rPr>
                <w:rFonts w:ascii="Microsoft YaHei" w:hAnsi="Microsoft YaHei" w:eastAsia="微软雅黑"/>
                <w:b w:val="0"/>
                <w:sz w:val="18"/>
              </w:rPr>
              <w:t>替米沙坦相关 ClinicalTrials.gov 临床研究更新（NCT06483789）</w:t>
            </w:r>
          </w:p>
        </w:tc>
        <w:tc>
          <w:tcPr>
            <w:tcW w:type="dxa" w:w="3096"/>
            <w:vAlign w:val="top"/>
          </w:tcPr>
          <w:p>
            <w:pPr>
              <w:spacing w:after="0"/>
            </w:pPr>
            <w:r/>
            <w:r>
              <w:rPr>
                <w:rFonts w:ascii="Microsoft YaHei" w:hAnsi="Microsoft YaHei" w:eastAsia="微软雅黑"/>
                <w:b w:val="0"/>
                <w:sz w:val="18"/>
              </w:rPr>
              <w:t>ClinicalTrials.gov 研究：Efficacy and Safety of HB-1 for Panic Disorder；NCT：NCT06483789；状态：SUSPENDED；阶段：PHASE2；适应症/疾病：Panic Disorder；Mental Illness；（详见网站明细）</w:t>
            </w:r>
          </w:p>
        </w:tc>
        <w:tc>
          <w:tcPr>
            <w:tcW w:type="dxa" w:w="2160"/>
            <w:vAlign w:val="top"/>
          </w:tcPr>
          <w:p>
            <w:pPr>
              <w:spacing w:after="0"/>
            </w:pPr>
            <w:r/>
            <w:r>
              <w:rPr>
                <w:rFonts w:ascii="Microsoft YaHei" w:hAnsi="Microsoft YaHei" w:eastAsia="微软雅黑"/>
                <w:b w:val="0"/>
                <w:sz w:val="18"/>
              </w:rPr>
              <w:t>ARB/CCB 复方替代或联合；建议查看研究设计、入排标准和终点，判断对络活喜或同机制竞品监测的影响。</w:t>
            </w:r>
          </w:p>
        </w:tc>
      </w:tr>
    </w:tbl>
    <w:p>
      <w:pPr>
        <w:pStyle w:val="Heading1"/>
      </w:pPr>
      <w:r>
        <w:t>四、KOL/专家动态</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152"/>
            <w:vAlign w:val="top"/>
            <w:shd w:fill="0F766D"/>
          </w:tcPr>
          <w:p>
            <w:pPr>
              <w:spacing w:after="0"/>
            </w:pPr>
            <w:r/>
            <w:r>
              <w:rPr>
                <w:rFonts w:ascii="Microsoft YaHei" w:hAnsi="Microsoft YaHei" w:eastAsia="微软雅黑"/>
                <w:b/>
                <w:color w:val="FFFFFF"/>
                <w:sz w:val="18"/>
              </w:rPr>
              <w:t>日期</w:t>
            </w:r>
          </w:p>
        </w:tc>
        <w:tc>
          <w:tcPr>
            <w:tcW w:type="dxa" w:w="1296"/>
            <w:vAlign w:val="top"/>
            <w:shd w:fill="0F766D"/>
          </w:tcPr>
          <w:p>
            <w:pPr>
              <w:spacing w:after="0"/>
            </w:pPr>
            <w:r/>
            <w:r>
              <w:rPr>
                <w:rFonts w:ascii="Microsoft YaHei" w:hAnsi="Microsoft YaHei" w:eastAsia="微软雅黑"/>
                <w:b/>
                <w:color w:val="FFFFFF"/>
                <w:sz w:val="18"/>
              </w:rPr>
              <w:t>来源</w:t>
            </w:r>
          </w:p>
        </w:tc>
        <w:tc>
          <w:tcPr>
            <w:tcW w:type="dxa" w:w="936"/>
            <w:vAlign w:val="top"/>
            <w:shd w:fill="0F766D"/>
          </w:tcPr>
          <w:p>
            <w:pPr>
              <w:spacing w:after="0"/>
            </w:pPr>
            <w:r/>
            <w:r>
              <w:rPr>
                <w:rFonts w:ascii="Microsoft YaHei" w:hAnsi="Microsoft YaHei" w:eastAsia="微软雅黑"/>
                <w:b/>
                <w:color w:val="FFFFFF"/>
                <w:sz w:val="18"/>
              </w:rPr>
              <w:t>类型</w:t>
            </w:r>
          </w:p>
        </w:tc>
        <w:tc>
          <w:tcPr>
            <w:tcW w:type="dxa" w:w="2160"/>
            <w:vAlign w:val="top"/>
            <w:shd w:fill="0F766D"/>
          </w:tcPr>
          <w:p>
            <w:pPr>
              <w:spacing w:after="0"/>
            </w:pPr>
            <w:r/>
            <w:r>
              <w:rPr>
                <w:rFonts w:ascii="Microsoft YaHei" w:hAnsi="Microsoft YaHei" w:eastAsia="微软雅黑"/>
                <w:b/>
                <w:color w:val="FFFFFF"/>
                <w:sz w:val="18"/>
              </w:rPr>
              <w:t>专家/机构</w:t>
            </w:r>
          </w:p>
        </w:tc>
        <w:tc>
          <w:tcPr>
            <w:tcW w:type="dxa" w:w="2592"/>
            <w:vAlign w:val="top"/>
            <w:shd w:fill="0F766D"/>
          </w:tcPr>
          <w:p>
            <w:pPr>
              <w:spacing w:after="0"/>
            </w:pPr>
            <w:r/>
            <w:r>
              <w:rPr>
                <w:rFonts w:ascii="Microsoft YaHei" w:hAnsi="Microsoft YaHei" w:eastAsia="微软雅黑"/>
                <w:b/>
                <w:color w:val="FFFFFF"/>
                <w:sz w:val="18"/>
              </w:rPr>
              <w:t>标题</w:t>
            </w:r>
          </w:p>
        </w:tc>
        <w:tc>
          <w:tcPr>
            <w:tcW w:type="dxa" w:w="1728"/>
            <w:vAlign w:val="top"/>
            <w:shd w:fill="0F766D"/>
          </w:tcPr>
          <w:p>
            <w:pPr>
              <w:spacing w:after="0"/>
            </w:pPr>
            <w:r/>
            <w:r>
              <w:rPr>
                <w:rFonts w:ascii="Microsoft YaHei" w:hAnsi="Microsoft YaHei" w:eastAsia="微软雅黑"/>
                <w:b/>
                <w:color w:val="FFFFFF"/>
                <w:sz w:val="18"/>
              </w:rPr>
              <w:t>产品信息</w:t>
            </w:r>
          </w:p>
        </w:tc>
        <w:tc>
          <w:tcPr>
            <w:tcW w:type="dxa" w:w="3240"/>
            <w:vAlign w:val="top"/>
            <w:shd w:fill="0F766D"/>
          </w:tcPr>
          <w:p>
            <w:pPr>
              <w:spacing w:after="0"/>
            </w:pPr>
            <w:r/>
            <w:r>
              <w:rPr>
                <w:rFonts w:ascii="Microsoft YaHei" w:hAnsi="Microsoft YaHei" w:eastAsia="微软雅黑"/>
                <w:b/>
                <w:color w:val="FFFFFF"/>
                <w:sz w:val="18"/>
              </w:rPr>
              <w:t>内容概要</w:t>
            </w:r>
          </w:p>
        </w:tc>
      </w:tr>
      <w:tr>
        <w:tc>
          <w:tcPr>
            <w:tcW w:type="dxa" w:w="1152"/>
            <w:vAlign w:val="top"/>
          </w:tcPr>
          <w:p>
            <w:pPr>
              <w:spacing w:after="0"/>
            </w:pPr>
            <w:r/>
            <w:r>
              <w:rPr>
                <w:rFonts w:ascii="Microsoft YaHei" w:hAnsi="Microsoft YaHei" w:eastAsia="微软雅黑"/>
                <w:b w:val="0"/>
                <w:sz w:val="18"/>
              </w:rPr>
              <w:t>2026-06-19</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耿晓坤 / 首都医科大学附属北京潞河医院</w:t>
            </w:r>
          </w:p>
        </w:tc>
        <w:tc>
          <w:tcPr>
            <w:tcW w:type="dxa" w:w="2592"/>
            <w:vAlign w:val="top"/>
          </w:tcPr>
          <w:p>
            <w:pPr>
              <w:spacing w:after="0"/>
            </w:pPr>
            <w:r/>
            <w:r>
              <w:rPr>
                <w:rFonts w:ascii="Microsoft YaHei" w:hAnsi="Microsoft YaHei" w:eastAsia="微软雅黑"/>
                <w:b w:val="0"/>
                <w:sz w:val="18"/>
              </w:rPr>
              <w:t>调节炎症小体 (NLRP3) 激活和应激颗粒 (SG) 形成：常压氧 (NBO) 对缺血性中风神经保护的见解。</w:t>
            </w:r>
          </w:p>
        </w:tc>
        <w:tc>
          <w:tcPr>
            <w:tcW w:type="dxa" w:w="1728"/>
            <w:vAlign w:val="top"/>
          </w:tcPr>
          <w:p>
            <w:pPr>
              <w:spacing w:after="0"/>
            </w:pPr>
            <w:r/>
            <w:r>
              <w:rPr>
                <w:rFonts w:ascii="Microsoft YaHei" w:hAnsi="Microsoft YaHei" w:eastAsia="微软雅黑"/>
                <w:b w:val="0"/>
                <w:sz w:val="18"/>
              </w:rPr>
              <w:t>IL-18</w:t>
            </w:r>
          </w:p>
        </w:tc>
        <w:tc>
          <w:tcPr>
            <w:tcW w:type="dxa" w:w="3240"/>
            <w:vAlign w:val="top"/>
          </w:tcPr>
          <w:p>
            <w:pPr>
              <w:spacing w:after="0"/>
            </w:pPr>
            <w:r/>
            <w:r>
              <w:rPr>
                <w:rFonts w:ascii="Microsoft YaHei" w:hAnsi="Microsoft YaHei" w:eastAsia="微软雅黑"/>
                <w:b w:val="0"/>
                <w:sz w:val="18"/>
              </w:rPr>
              <w:t>研究主题：调节炎症小体 (NLRP3) 激活和应激颗粒 (SG) 形成：常压氧 (NBO) 对缺血性中风神经保护的见解。摘要要点：背景：NBO 疗法已证明对缺血性中风具有神经保护作用。（详见网站明细）</w:t>
            </w:r>
          </w:p>
        </w:tc>
      </w:tr>
      <w:tr>
        <w:tc>
          <w:tcPr>
            <w:tcW w:type="dxa" w:w="1152"/>
            <w:vAlign w:val="top"/>
          </w:tcPr>
          <w:p>
            <w:pPr>
              <w:spacing w:after="0"/>
            </w:pPr>
            <w:r/>
            <w:r>
              <w:rPr>
                <w:rFonts w:ascii="Microsoft YaHei" w:hAnsi="Microsoft YaHei" w:eastAsia="微软雅黑"/>
                <w:b w:val="0"/>
                <w:sz w:val="18"/>
              </w:rPr>
              <w:t>2026-06-22</w:t>
            </w:r>
          </w:p>
        </w:tc>
        <w:tc>
          <w:tcPr>
            <w:tcW w:type="dxa" w:w="1296"/>
            <w:vAlign w:val="top"/>
          </w:tcPr>
          <w:p>
            <w:pPr>
              <w:spacing w:after="0"/>
            </w:pPr>
            <w:r/>
            <w:r>
              <w:rPr>
                <w:rFonts w:ascii="Microsoft YaHei" w:hAnsi="Microsoft YaHei" w:eastAsia="微软雅黑"/>
                <w:b w:val="0"/>
                <w:sz w:val="18"/>
              </w:rPr>
              <w:t>微信公众号</w:t>
            </w:r>
          </w:p>
        </w:tc>
        <w:tc>
          <w:tcPr>
            <w:tcW w:type="dxa" w:w="936"/>
            <w:vAlign w:val="top"/>
          </w:tcPr>
          <w:p>
            <w:pPr>
              <w:spacing w:after="0"/>
            </w:pPr>
            <w:r/>
            <w:r>
              <w:rPr>
                <w:rFonts w:ascii="Microsoft YaHei" w:hAnsi="Microsoft YaHei" w:eastAsia="微软雅黑"/>
                <w:b w:val="0"/>
                <w:sz w:val="18"/>
              </w:rPr>
              <w:t>会议</w:t>
            </w:r>
          </w:p>
        </w:tc>
        <w:tc>
          <w:tcPr>
            <w:tcW w:type="dxa" w:w="2160"/>
            <w:vAlign w:val="top"/>
          </w:tcPr>
          <w:p>
            <w:pPr>
              <w:spacing w:after="0"/>
            </w:pPr>
            <w:r/>
            <w:r>
              <w:rPr>
                <w:rFonts w:ascii="Microsoft YaHei" w:hAnsi="Microsoft YaHei" w:eastAsia="微软雅黑"/>
                <w:b w:val="0"/>
                <w:sz w:val="18"/>
              </w:rPr>
              <w:t>孙英贤 / 中国医科大学附属第一医院</w:t>
            </w:r>
          </w:p>
        </w:tc>
        <w:tc>
          <w:tcPr>
            <w:tcW w:type="dxa" w:w="2592"/>
            <w:vAlign w:val="top"/>
          </w:tcPr>
          <w:p>
            <w:pPr>
              <w:spacing w:after="0"/>
            </w:pPr>
            <w:r/>
            <w:r>
              <w:rPr>
                <w:rFonts w:ascii="Microsoft YaHei" w:hAnsi="Microsoft YaHei" w:eastAsia="微软雅黑"/>
                <w:b w:val="0"/>
                <w:sz w:val="18"/>
              </w:rPr>
              <w:t>孙英贤教授：所有成人高血压患者均应尽早强化降压至130/80mmHg | OCC 2026！</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会议报道；讲题/主题：《高血压降压新标准确立及降压理念的更新》。相关内容：在 2026年东方心脏病学会议（OCC 2026）上 2026年东方心脏病学会议（OCC 2026）上 中国医科大学附属第一医院孙英贤教授 带来了一场名为 “高血压降压新标准确立及降压理念的更新”的精彩 中美欧三大权威指南降压（详见网站明细）</w:t>
            </w:r>
          </w:p>
        </w:tc>
      </w:tr>
      <w:tr>
        <w:tc>
          <w:tcPr>
            <w:tcW w:type="dxa" w:w="1152"/>
            <w:vAlign w:val="top"/>
          </w:tcPr>
          <w:p>
            <w:pPr>
              <w:spacing w:after="0"/>
            </w:pPr>
            <w:r/>
            <w:r>
              <w:rPr>
                <w:rFonts w:ascii="Microsoft YaHei" w:hAnsi="Microsoft YaHei" w:eastAsia="微软雅黑"/>
                <w:b w:val="0"/>
                <w:sz w:val="18"/>
              </w:rPr>
              <w:t>2026-06-22</w:t>
            </w:r>
          </w:p>
        </w:tc>
        <w:tc>
          <w:tcPr>
            <w:tcW w:type="dxa" w:w="1296"/>
            <w:vAlign w:val="top"/>
          </w:tcPr>
          <w:p>
            <w:pPr>
              <w:spacing w:after="0"/>
            </w:pPr>
            <w:r/>
            <w:r>
              <w:rPr>
                <w:rFonts w:ascii="Microsoft YaHei" w:hAnsi="Microsoft YaHei" w:eastAsia="微软雅黑"/>
                <w:b w:val="0"/>
                <w:sz w:val="18"/>
              </w:rPr>
              <w:t>微信公众号</w:t>
            </w:r>
          </w:p>
        </w:tc>
        <w:tc>
          <w:tcPr>
            <w:tcW w:type="dxa" w:w="936"/>
            <w:vAlign w:val="top"/>
          </w:tcPr>
          <w:p>
            <w:pPr>
              <w:spacing w:after="0"/>
            </w:pPr>
            <w:r/>
            <w:r>
              <w:rPr>
                <w:rFonts w:ascii="Microsoft YaHei" w:hAnsi="Microsoft YaHei" w:eastAsia="微软雅黑"/>
                <w:b w:val="0"/>
                <w:sz w:val="18"/>
              </w:rPr>
              <w:t>会议</w:t>
            </w:r>
          </w:p>
        </w:tc>
        <w:tc>
          <w:tcPr>
            <w:tcW w:type="dxa" w:w="2160"/>
            <w:vAlign w:val="top"/>
          </w:tcPr>
          <w:p>
            <w:pPr>
              <w:spacing w:after="0"/>
            </w:pPr>
            <w:r/>
            <w:r>
              <w:rPr>
                <w:rFonts w:ascii="Microsoft YaHei" w:hAnsi="Microsoft YaHei" w:eastAsia="微软雅黑"/>
                <w:b w:val="0"/>
                <w:sz w:val="18"/>
              </w:rPr>
              <w:t>卢新政 / 江苏省人民医院</w:t>
            </w:r>
          </w:p>
        </w:tc>
        <w:tc>
          <w:tcPr>
            <w:tcW w:type="dxa" w:w="2592"/>
            <w:vAlign w:val="top"/>
          </w:tcPr>
          <w:p>
            <w:pPr>
              <w:spacing w:after="0"/>
            </w:pPr>
            <w:r/>
            <w:r>
              <w:rPr>
                <w:rFonts w:ascii="Microsoft YaHei" w:hAnsi="Microsoft YaHei" w:eastAsia="微软雅黑"/>
                <w:b w:val="0"/>
                <w:sz w:val="18"/>
              </w:rPr>
              <w:t>第三届高血压研究与转化学术会议举行</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会议报道；全文未发现明确讲题标题。专家相关内容：他介绍道，CSPPT-2是基于基因分型(MTHFR C677T）指导叶酸精准干预的大规模随机对照试验 科研成果旨在惠及全民</w:t>
            </w:r>
          </w:p>
        </w:tc>
      </w:tr>
      <w:tr>
        <w:tc>
          <w:tcPr>
            <w:tcW w:type="dxa" w:w="1152"/>
            <w:vAlign w:val="top"/>
          </w:tcPr>
          <w:p>
            <w:pPr>
              <w:spacing w:after="0"/>
            </w:pPr>
            <w:r/>
            <w:r>
              <w:rPr>
                <w:rFonts w:ascii="Microsoft YaHei" w:hAnsi="Microsoft YaHei" w:eastAsia="微软雅黑"/>
                <w:b w:val="0"/>
                <w:sz w:val="18"/>
              </w:rPr>
              <w:t>2026-06-19</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王继光 / 上海交通大学医学院附属瑞金医院</w:t>
            </w:r>
          </w:p>
        </w:tc>
        <w:tc>
          <w:tcPr>
            <w:tcW w:type="dxa" w:w="2592"/>
            <w:vAlign w:val="top"/>
          </w:tcPr>
          <w:p>
            <w:pPr>
              <w:spacing w:after="0"/>
            </w:pPr>
            <w:r/>
            <w:r>
              <w:rPr>
                <w:rFonts w:ascii="Microsoft YaHei" w:hAnsi="Microsoft YaHei" w:eastAsia="微软雅黑"/>
                <w:b w:val="0"/>
                <w:sz w:val="18"/>
              </w:rPr>
              <w:t>肾去神经支配后血浆肾素浓度的急性变化：潜在程序标记物的探索性分析。</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基于题名判断，文章主题为：肾去神经支配后血浆肾素浓度的急性变化：潜在程序标记物的探索性分析。</w:t>
            </w:r>
          </w:p>
        </w:tc>
      </w:tr>
      <w:tr>
        <w:tc>
          <w:tcPr>
            <w:tcW w:type="dxa" w:w="1152"/>
            <w:vAlign w:val="top"/>
          </w:tcPr>
          <w:p>
            <w:pPr>
              <w:spacing w:after="0"/>
            </w:pPr>
            <w:r/>
            <w:r>
              <w:rPr>
                <w:rFonts w:ascii="Microsoft YaHei" w:hAnsi="Microsoft YaHei" w:eastAsia="微软雅黑"/>
                <w:b w:val="0"/>
                <w:sz w:val="18"/>
              </w:rPr>
              <w:t>2026-06-16</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王继光 / 上海交通大学医学院附属瑞金医院</w:t>
            </w:r>
          </w:p>
        </w:tc>
        <w:tc>
          <w:tcPr>
            <w:tcW w:type="dxa" w:w="2592"/>
            <w:vAlign w:val="top"/>
          </w:tcPr>
          <w:p>
            <w:pPr>
              <w:spacing w:after="0"/>
            </w:pPr>
            <w:r/>
            <w:r>
              <w:rPr>
                <w:rFonts w:ascii="Microsoft YaHei" w:hAnsi="Microsoft YaHei" w:eastAsia="微软雅黑"/>
                <w:b w:val="0"/>
                <w:sz w:val="18"/>
              </w:rPr>
              <w:t>超高场 7 T MRI 揭示了与高血压认知障碍相关的注意力网络神经异常。</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研究主题：超高场 7 T MRI 揭示了与高血压认知障碍相关的注意力网络神经异常。摘要要点：高血压是认知障碍（CI）的一个重要危险因素，但相应的神经网络异常仍未得到充分研究。（详见网站明细）</w:t>
            </w:r>
          </w:p>
        </w:tc>
      </w:tr>
      <w:tr>
        <w:tc>
          <w:tcPr>
            <w:tcW w:type="dxa" w:w="1152"/>
            <w:vAlign w:val="top"/>
          </w:tcPr>
          <w:p>
            <w:pPr>
              <w:spacing w:after="0"/>
            </w:pPr>
            <w:r/>
            <w:r>
              <w:rPr>
                <w:rFonts w:ascii="Microsoft YaHei" w:hAnsi="Microsoft YaHei" w:eastAsia="微软雅黑"/>
                <w:b w:val="0"/>
                <w:sz w:val="18"/>
              </w:rPr>
              <w:t>2026-06-15</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姚颖 / 华中科技大学同济医学院附属同济医院</w:t>
            </w:r>
          </w:p>
        </w:tc>
        <w:tc>
          <w:tcPr>
            <w:tcW w:type="dxa" w:w="2592"/>
            <w:vAlign w:val="top"/>
          </w:tcPr>
          <w:p>
            <w:pPr>
              <w:spacing w:after="0"/>
            </w:pPr>
            <w:r/>
            <w:r>
              <w:rPr>
                <w:rFonts w:ascii="Microsoft YaHei" w:hAnsi="Microsoft YaHei" w:eastAsia="微软雅黑"/>
                <w:b w:val="0"/>
                <w:sz w:val="18"/>
              </w:rPr>
              <w:t>胃肠动力障碍中肠道微生态系统的功能重建：益生菌、益生元、合生元和后生元的作用。</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胃肠动力障碍中肠道微生态系统的功能重建：益生菌、益生元、合生元和后生元的作用。摘要要点：胃肠动力障碍（GIMD）是一种普遍存在的疾病，具有异质性症状且长期治疗效果有限。（详见网站明细）</w:t>
            </w:r>
          </w:p>
        </w:tc>
      </w:tr>
      <w:tr>
        <w:tc>
          <w:tcPr>
            <w:tcW w:type="dxa" w:w="1152"/>
            <w:vAlign w:val="top"/>
          </w:tcPr>
          <w:p>
            <w:pPr>
              <w:spacing w:after="0"/>
            </w:pPr>
            <w:r/>
            <w:r>
              <w:rPr>
                <w:rFonts w:ascii="Microsoft YaHei" w:hAnsi="Microsoft YaHei" w:eastAsia="微软雅黑"/>
                <w:b w:val="0"/>
                <w:sz w:val="18"/>
              </w:rPr>
              <w:t>2026-06-15</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李子孝 / 首都医科大学附属北京天坛医院</w:t>
            </w:r>
          </w:p>
        </w:tc>
        <w:tc>
          <w:tcPr>
            <w:tcW w:type="dxa" w:w="2592"/>
            <w:vAlign w:val="top"/>
          </w:tcPr>
          <w:p>
            <w:pPr>
              <w:spacing w:after="0"/>
            </w:pPr>
            <w:r/>
            <w:r>
              <w:rPr>
                <w:rFonts w:ascii="Microsoft YaHei" w:hAnsi="Microsoft YaHei" w:eastAsia="微软雅黑"/>
                <w:b w:val="0"/>
                <w:sz w:val="18"/>
              </w:rPr>
              <w:t>GNB3 C825T 多态性与大动脉粥样硬化性急性缺血性中风复发风险降低相关。</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研究主题：GNB3 C825T 多态性与大动脉粥样硬化性急性缺血性中风复发风险降低相关。摘要要点：背景：GNB3 C825T 多态性影响 G 蛋白偶联受体信号传导，影响血小板功能、炎症和心血管风险。（详见网站明细）</w:t>
            </w:r>
          </w:p>
        </w:tc>
      </w:tr>
      <w:tr>
        <w:tc>
          <w:tcPr>
            <w:tcW w:type="dxa" w:w="1152"/>
            <w:vAlign w:val="top"/>
          </w:tcPr>
          <w:p>
            <w:pPr>
              <w:spacing w:after="0"/>
            </w:pPr>
            <w:r/>
            <w:r>
              <w:rPr>
                <w:rFonts w:ascii="Microsoft YaHei" w:hAnsi="Microsoft YaHei" w:eastAsia="微软雅黑"/>
                <w:b w:val="0"/>
                <w:sz w:val="18"/>
              </w:rPr>
              <w:t>2026-06-12</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王继光 / 上海交通大学医学院附属瑞金医院</w:t>
            </w:r>
          </w:p>
        </w:tc>
        <w:tc>
          <w:tcPr>
            <w:tcW w:type="dxa" w:w="2592"/>
            <w:vAlign w:val="top"/>
          </w:tcPr>
          <w:p>
            <w:pPr>
              <w:spacing w:after="0"/>
            </w:pPr>
            <w:r/>
            <w:r>
              <w:rPr>
                <w:rFonts w:ascii="Microsoft YaHei" w:hAnsi="Microsoft YaHei" w:eastAsia="微软雅黑"/>
                <w:b w:val="0"/>
                <w:sz w:val="18"/>
              </w:rPr>
              <w:t>连续测量的不对称臂间血压差异。</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连续测量的不对称臂间血压差异。摘要要点：指南建议对双臂进行初始血压评估，读数较高的手臂用于将来的测量。由于同时测量设备通常不可用，我们评估了连续测量是否适合评估臂间差异。在上海，使用自动化系统测量血压。（详见网站明细）</w:t>
            </w:r>
          </w:p>
        </w:tc>
      </w:tr>
      <w:tr>
        <w:tc>
          <w:tcPr>
            <w:tcW w:type="dxa" w:w="1152"/>
            <w:vAlign w:val="top"/>
          </w:tcPr>
          <w:p>
            <w:pPr>
              <w:spacing w:after="0"/>
            </w:pPr>
            <w:r/>
            <w:r>
              <w:rPr>
                <w:rFonts w:ascii="Microsoft YaHei" w:hAnsi="Microsoft YaHei" w:eastAsia="微软雅黑"/>
                <w:b w:val="0"/>
                <w:sz w:val="18"/>
              </w:rPr>
              <w:t>2026-06-10</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张浩 / 中南大学湘雅三医院</w:t>
            </w:r>
          </w:p>
        </w:tc>
        <w:tc>
          <w:tcPr>
            <w:tcW w:type="dxa" w:w="2592"/>
            <w:vAlign w:val="top"/>
          </w:tcPr>
          <w:p>
            <w:pPr>
              <w:spacing w:after="0"/>
            </w:pPr>
            <w:r/>
            <w:r>
              <w:rPr>
                <w:rFonts w:ascii="Microsoft YaHei" w:hAnsi="Microsoft YaHei" w:eastAsia="微软雅黑"/>
                <w:b w:val="0"/>
                <w:sz w:val="18"/>
              </w:rPr>
              <w:t>TRMT10C通过转铁蛋白受体m1A甲基化修饰促进线粒体裂变，加重房颤进展。</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研究主题：TRMT10C通过转铁蛋白受体m1A甲基化修饰促进线粒体裂变，加重房颤进展。摘要要点：心房颤动（AF）是一种常见的心律失常，通常伴有心房的结构重塑，特别是纤维化和正常线粒体功能的破坏。 N(1)-甲基腺苷 (m1A) 是一种 RNA 甲基化，因其在多种生物过程中的作用而受到关注。（详见网站明细）</w:t>
            </w:r>
          </w:p>
        </w:tc>
      </w:tr>
      <w:tr>
        <w:tc>
          <w:tcPr>
            <w:tcW w:type="dxa" w:w="1152"/>
            <w:vAlign w:val="top"/>
          </w:tcPr>
          <w:p>
            <w:pPr>
              <w:spacing w:after="0"/>
            </w:pPr>
            <w:r/>
            <w:r>
              <w:rPr>
                <w:rFonts w:ascii="Microsoft YaHei" w:hAnsi="Microsoft YaHei" w:eastAsia="微软雅黑"/>
                <w:b w:val="0"/>
                <w:sz w:val="18"/>
              </w:rPr>
              <w:t>2026-06-09</w:t>
            </w:r>
          </w:p>
        </w:tc>
        <w:tc>
          <w:tcPr>
            <w:tcW w:type="dxa" w:w="1296"/>
            <w:vAlign w:val="top"/>
          </w:tcPr>
          <w:p>
            <w:pPr>
              <w:spacing w:after="0"/>
            </w:pPr>
            <w:r/>
            <w:r>
              <w:rPr>
                <w:rFonts w:ascii="Microsoft YaHei" w:hAnsi="Microsoft YaHei" w:eastAsia="微软雅黑"/>
                <w:b w:val="0"/>
                <w:sz w:val="18"/>
              </w:rPr>
              <w:t>PubMed</w:t>
            </w:r>
          </w:p>
        </w:tc>
        <w:tc>
          <w:tcPr>
            <w:tcW w:type="dxa" w:w="936"/>
            <w:vAlign w:val="top"/>
          </w:tcPr>
          <w:p>
            <w:pPr>
              <w:spacing w:after="0"/>
            </w:pPr>
            <w:r/>
            <w:r>
              <w:rPr>
                <w:rFonts w:ascii="Microsoft YaHei" w:hAnsi="Microsoft YaHei" w:eastAsia="微软雅黑"/>
                <w:b w:val="0"/>
                <w:sz w:val="18"/>
              </w:rPr>
              <w:t>论文</w:t>
            </w:r>
          </w:p>
        </w:tc>
        <w:tc>
          <w:tcPr>
            <w:tcW w:type="dxa" w:w="2160"/>
            <w:vAlign w:val="top"/>
          </w:tcPr>
          <w:p>
            <w:pPr>
              <w:spacing w:after="0"/>
            </w:pPr>
            <w:r/>
            <w:r>
              <w:rPr>
                <w:rFonts w:ascii="Microsoft YaHei" w:hAnsi="Microsoft YaHei" w:eastAsia="微软雅黑"/>
                <w:b w:val="0"/>
                <w:sz w:val="18"/>
              </w:rPr>
              <w:t>李燕 / 上海交通大学医学院附属瑞金医院</w:t>
            </w:r>
          </w:p>
        </w:tc>
        <w:tc>
          <w:tcPr>
            <w:tcW w:type="dxa" w:w="2592"/>
            <w:vAlign w:val="top"/>
          </w:tcPr>
          <w:p>
            <w:pPr>
              <w:spacing w:after="0"/>
            </w:pPr>
            <w:r/>
            <w:r>
              <w:rPr>
                <w:rFonts w:ascii="Microsoft YaHei" w:hAnsi="Microsoft YaHei" w:eastAsia="微软雅黑"/>
                <w:b w:val="0"/>
                <w:sz w:val="18"/>
              </w:rPr>
              <w:t>帕金森病伴 REM 睡眠行为障碍的膜和生物能功能障碍：31P 和 1H MR 研究。</w:t>
            </w:r>
          </w:p>
        </w:tc>
        <w:tc>
          <w:tcPr>
            <w:tcW w:type="dxa" w:w="1728"/>
            <w:vAlign w:val="top"/>
          </w:tcPr>
          <w:p>
            <w:pPr>
              <w:spacing w:after="0"/>
            </w:pPr>
            <w:r/>
            <w:r>
              <w:rPr>
                <w:rFonts w:ascii="Microsoft YaHei" w:hAnsi="Microsoft YaHei" w:eastAsia="微软雅黑"/>
                <w:b w:val="0"/>
                <w:sz w:val="18"/>
              </w:rPr>
            </w:r>
          </w:p>
        </w:tc>
        <w:tc>
          <w:tcPr>
            <w:tcW w:type="dxa" w:w="3240"/>
            <w:vAlign w:val="top"/>
          </w:tcPr>
          <w:p>
            <w:pPr>
              <w:spacing w:after="0"/>
            </w:pPr>
            <w:r/>
            <w:r>
              <w:rPr>
                <w:rFonts w:ascii="Microsoft YaHei" w:hAnsi="Microsoft YaHei" w:eastAsia="微软雅黑"/>
                <w:b w:val="0"/>
                <w:sz w:val="18"/>
              </w:rPr>
              <w:t>研究主题：帕金森病伴 REM 睡眠行为障碍的膜和生物能功能障碍：31P 和 1H MR 研究。摘要要点：帕金森病 (PD) 中的快速眼动睡眠行为障碍 (RBD) 标志着一种更具攻击性的亚型。虽然线粒体功能障碍、铁沉积和神经黑色素丢失是 PD 病理学的核心，但它们对 PD RBD 的贡献仍不清楚。（详见网站明细）</w:t>
            </w:r>
          </w:p>
        </w:tc>
      </w:tr>
    </w:tbl>
    <w:p>
      <w:pPr>
        <w:pStyle w:val="Heading1"/>
      </w:pPr>
      <w:r>
        <w:t>五、涉及分子/靶点</w:t>
      </w:r>
    </w:p>
    <w:tbl>
      <w:tblPr>
        <w:tblStyle w:val="TableGrid"/>
        <w:tblW w:type="auto" w:w="0"/>
        <w:jc w:val="center"/>
        <w:tblLook w:firstColumn="1" w:firstRow="1" w:lastColumn="0" w:lastRow="0" w:noHBand="0" w:noVBand="1" w:val="04A0"/>
      </w:tblPr>
      <w:tblGrid>
        <w:gridCol w:w="5184"/>
        <w:gridCol w:w="5184"/>
      </w:tblGrid>
      <w:tr>
        <w:tc>
          <w:tcPr>
            <w:tcW w:type="dxa" w:w="7920"/>
            <w:vAlign w:val="top"/>
            <w:shd w:fill="0F766D"/>
          </w:tcPr>
          <w:p>
            <w:pPr>
              <w:spacing w:after="0"/>
            </w:pPr>
            <w:r/>
            <w:r>
              <w:rPr>
                <w:rFonts w:ascii="Microsoft YaHei" w:hAnsi="Microsoft YaHei" w:eastAsia="微软雅黑"/>
                <w:b/>
                <w:color w:val="FFFFFF"/>
                <w:sz w:val="18"/>
              </w:rPr>
              <w:t>分子/靶点/通用名</w:t>
            </w:r>
          </w:p>
        </w:tc>
        <w:tc>
          <w:tcPr>
            <w:tcW w:type="dxa" w:w="1584"/>
            <w:vAlign w:val="top"/>
            <w:shd w:fill="0F766D"/>
          </w:tcPr>
          <w:p>
            <w:pPr>
              <w:spacing w:after="0"/>
            </w:pPr>
            <w:r/>
            <w:r>
              <w:rPr>
                <w:rFonts w:ascii="Microsoft YaHei" w:hAnsi="Microsoft YaHei" w:eastAsia="微软雅黑"/>
                <w:b/>
                <w:color w:val="FFFFFF"/>
                <w:sz w:val="18"/>
              </w:rPr>
              <w:t>出现次数</w:t>
            </w:r>
          </w:p>
        </w:tc>
      </w:tr>
      <w:tr>
        <w:tc>
          <w:tcPr>
            <w:tcW w:type="dxa" w:w="7920"/>
            <w:vAlign w:val="top"/>
          </w:tcPr>
          <w:p>
            <w:pPr>
              <w:spacing w:after="0"/>
            </w:pPr>
            <w:r/>
            <w:r>
              <w:rPr>
                <w:rFonts w:ascii="Microsoft YaHei" w:hAnsi="Microsoft YaHei" w:eastAsia="微软雅黑"/>
                <w:b w:val="0"/>
                <w:sz w:val="18"/>
              </w:rPr>
              <w:t>Amlodipine besylate / C26H31ClN2O8S</w:t>
            </w:r>
          </w:p>
        </w:tc>
        <w:tc>
          <w:tcPr>
            <w:tcW w:type="dxa" w:w="1584"/>
            <w:vAlign w:val="top"/>
          </w:tcPr>
          <w:p>
            <w:pPr>
              <w:spacing w:after="0"/>
            </w:pPr>
            <w:r/>
            <w:r>
              <w:rPr>
                <w:rFonts w:ascii="Microsoft YaHei" w:hAnsi="Microsoft YaHei" w:eastAsia="微软雅黑"/>
                <w:b w:val="0"/>
                <w:sz w:val="18"/>
              </w:rPr>
              <w:t>35</w:t>
            </w:r>
          </w:p>
        </w:tc>
      </w:tr>
      <w:tr>
        <w:tc>
          <w:tcPr>
            <w:tcW w:type="dxa" w:w="7920"/>
            <w:vAlign w:val="top"/>
          </w:tcPr>
          <w:p>
            <w:pPr>
              <w:spacing w:after="0"/>
            </w:pPr>
            <w:r/>
            <w:r>
              <w:rPr>
                <w:rFonts w:ascii="Microsoft YaHei" w:hAnsi="Microsoft YaHei" w:eastAsia="微软雅黑"/>
                <w:b w:val="0"/>
                <w:sz w:val="18"/>
              </w:rPr>
              <w:t>缬沙坦 / valsartan / C24H29N5O3</w:t>
            </w:r>
          </w:p>
        </w:tc>
        <w:tc>
          <w:tcPr>
            <w:tcW w:type="dxa" w:w="1584"/>
            <w:vAlign w:val="top"/>
          </w:tcPr>
          <w:p>
            <w:pPr>
              <w:spacing w:after="0"/>
            </w:pPr>
            <w:r/>
            <w:r>
              <w:rPr>
                <w:rFonts w:ascii="Microsoft YaHei" w:hAnsi="Microsoft YaHei" w:eastAsia="微软雅黑"/>
                <w:b w:val="0"/>
                <w:sz w:val="18"/>
              </w:rPr>
              <w:t>13</w:t>
            </w:r>
          </w:p>
        </w:tc>
      </w:tr>
      <w:tr>
        <w:tc>
          <w:tcPr>
            <w:tcW w:type="dxa" w:w="7920"/>
            <w:vAlign w:val="top"/>
          </w:tcPr>
          <w:p>
            <w:pPr>
              <w:spacing w:after="0"/>
            </w:pPr>
            <w:r/>
            <w:r>
              <w:rPr>
                <w:rFonts w:ascii="Microsoft YaHei" w:hAnsi="Microsoft YaHei" w:eastAsia="微软雅黑"/>
                <w:b w:val="0"/>
                <w:sz w:val="18"/>
              </w:rPr>
              <w:t>硝苯地平 / nifedipine / C17H18N2O6</w:t>
            </w:r>
          </w:p>
        </w:tc>
        <w:tc>
          <w:tcPr>
            <w:tcW w:type="dxa" w:w="1584"/>
            <w:vAlign w:val="top"/>
          </w:tcPr>
          <w:p>
            <w:pPr>
              <w:spacing w:after="0"/>
            </w:pPr>
            <w:r/>
            <w:r>
              <w:rPr>
                <w:rFonts w:ascii="Microsoft YaHei" w:hAnsi="Microsoft YaHei" w:eastAsia="微软雅黑"/>
                <w:b w:val="0"/>
                <w:sz w:val="18"/>
              </w:rPr>
              <w:t>7</w:t>
            </w:r>
          </w:p>
        </w:tc>
      </w:tr>
      <w:tr>
        <w:tc>
          <w:tcPr>
            <w:tcW w:type="dxa" w:w="7920"/>
            <w:vAlign w:val="top"/>
          </w:tcPr>
          <w:p>
            <w:pPr>
              <w:spacing w:after="0"/>
            </w:pPr>
            <w:r/>
            <w:r>
              <w:rPr>
                <w:rFonts w:ascii="Microsoft YaHei" w:hAnsi="Microsoft YaHei" w:eastAsia="微软雅黑"/>
                <w:b w:val="0"/>
                <w:sz w:val="18"/>
              </w:rPr>
              <w:t>苯磺酸氨氯地平 / amlodipine besylate / C26H31ClN2O8S</w:t>
            </w:r>
          </w:p>
        </w:tc>
        <w:tc>
          <w:tcPr>
            <w:tcW w:type="dxa" w:w="1584"/>
            <w:vAlign w:val="top"/>
          </w:tcPr>
          <w:p>
            <w:pPr>
              <w:spacing w:after="0"/>
            </w:pPr>
            <w:r/>
            <w:r>
              <w:rPr>
                <w:rFonts w:ascii="Microsoft YaHei" w:hAnsi="Microsoft YaHei" w:eastAsia="微软雅黑"/>
                <w:b w:val="0"/>
                <w:sz w:val="18"/>
              </w:rPr>
              <w:t>5</w:t>
            </w:r>
          </w:p>
        </w:tc>
      </w:tr>
      <w:tr>
        <w:tc>
          <w:tcPr>
            <w:tcW w:type="dxa" w:w="7920"/>
            <w:vAlign w:val="top"/>
          </w:tcPr>
          <w:p>
            <w:pPr>
              <w:spacing w:after="0"/>
            </w:pPr>
            <w:r/>
            <w:r>
              <w:rPr>
                <w:rFonts w:ascii="Microsoft YaHei" w:hAnsi="Microsoft YaHei" w:eastAsia="微软雅黑"/>
                <w:b w:val="0"/>
                <w:sz w:val="18"/>
              </w:rPr>
              <w:t>奥美沙坦酯 / olmesartan medoxomil / C29H30N6O6</w:t>
            </w:r>
          </w:p>
        </w:tc>
        <w:tc>
          <w:tcPr>
            <w:tcW w:type="dxa" w:w="1584"/>
            <w:vAlign w:val="top"/>
          </w:tcPr>
          <w:p>
            <w:pPr>
              <w:spacing w:after="0"/>
            </w:pPr>
            <w:r/>
            <w:r>
              <w:rPr>
                <w:rFonts w:ascii="Microsoft YaHei" w:hAnsi="Microsoft YaHei" w:eastAsia="微软雅黑"/>
                <w:b w:val="0"/>
                <w:sz w:val="18"/>
              </w:rPr>
              <w:t>4</w:t>
            </w:r>
          </w:p>
        </w:tc>
      </w:tr>
      <w:tr>
        <w:tc>
          <w:tcPr>
            <w:tcW w:type="dxa" w:w="7920"/>
            <w:vAlign w:val="top"/>
          </w:tcPr>
          <w:p>
            <w:pPr>
              <w:spacing w:after="0"/>
            </w:pPr>
            <w:r/>
            <w:r>
              <w:rPr>
                <w:rFonts w:ascii="Microsoft YaHei" w:hAnsi="Microsoft YaHei" w:eastAsia="微软雅黑"/>
                <w:b w:val="0"/>
                <w:sz w:val="18"/>
              </w:rPr>
              <w:t>非洛地平 / felodipine / C18H19Cl2NO4</w:t>
            </w:r>
          </w:p>
        </w:tc>
        <w:tc>
          <w:tcPr>
            <w:tcW w:type="dxa" w:w="1584"/>
            <w:vAlign w:val="top"/>
          </w:tcPr>
          <w:p>
            <w:pPr>
              <w:spacing w:after="0"/>
            </w:pPr>
            <w:r/>
            <w:r>
              <w:rPr>
                <w:rFonts w:ascii="Microsoft YaHei" w:hAnsi="Microsoft YaHei" w:eastAsia="微软雅黑"/>
                <w:b w:val="0"/>
                <w:sz w:val="18"/>
              </w:rPr>
              <w:t>2</w:t>
            </w:r>
          </w:p>
        </w:tc>
      </w:tr>
      <w:tr>
        <w:tc>
          <w:tcPr>
            <w:tcW w:type="dxa" w:w="7920"/>
            <w:vAlign w:val="top"/>
          </w:tcPr>
          <w:p>
            <w:pPr>
              <w:spacing w:after="0"/>
            </w:pPr>
            <w:r/>
            <w:r>
              <w:rPr>
                <w:rFonts w:ascii="Microsoft YaHei" w:hAnsi="Microsoft YaHei" w:eastAsia="微软雅黑"/>
                <w:b w:val="0"/>
                <w:sz w:val="18"/>
              </w:rPr>
              <w:t>替米沙坦 / telmisartan / C33H30N4O2</w:t>
            </w:r>
          </w:p>
        </w:tc>
        <w:tc>
          <w:tcPr>
            <w:tcW w:type="dxa" w:w="1584"/>
            <w:vAlign w:val="top"/>
          </w:tcPr>
          <w:p>
            <w:pPr>
              <w:spacing w:after="0"/>
            </w:pPr>
            <w:r/>
            <w:r>
              <w:rPr>
                <w:rFonts w:ascii="Microsoft YaHei" w:hAnsi="Microsoft YaHei" w:eastAsia="微软雅黑"/>
                <w:b w:val="0"/>
                <w:sz w:val="18"/>
              </w:rPr>
              <w:t>2</w:t>
            </w:r>
          </w:p>
        </w:tc>
      </w:tr>
      <w:tr>
        <w:tc>
          <w:tcPr>
            <w:tcW w:type="dxa" w:w="7920"/>
            <w:vAlign w:val="top"/>
          </w:tcPr>
          <w:p>
            <w:pPr>
              <w:spacing w:after="0"/>
            </w:pPr>
            <w:r/>
            <w:r>
              <w:rPr>
                <w:rFonts w:ascii="Microsoft YaHei" w:hAnsi="Microsoft YaHei" w:eastAsia="微软雅黑"/>
                <w:b w:val="0"/>
                <w:sz w:val="18"/>
              </w:rPr>
              <w:t>IL-18</w:t>
            </w:r>
          </w:p>
        </w:tc>
        <w:tc>
          <w:tcPr>
            <w:tcW w:type="dxa" w:w="1584"/>
            <w:vAlign w:val="top"/>
          </w:tcPr>
          <w:p>
            <w:pPr>
              <w:spacing w:after="0"/>
            </w:pPr>
            <w:r/>
            <w:r>
              <w:rPr>
                <w:rFonts w:ascii="Microsoft YaHei" w:hAnsi="Microsoft YaHei" w:eastAsia="微软雅黑"/>
                <w:b w:val="0"/>
                <w:sz w:val="18"/>
              </w:rPr>
              <w:t>2</w:t>
            </w:r>
          </w:p>
        </w:tc>
      </w:tr>
    </w:tbl>
    <w:p>
      <w:pPr>
        <w:pStyle w:val="Heading1"/>
      </w:pPr>
      <w:r>
        <w:t>六、建议跟进</w:t>
      </w:r>
    </w:p>
    <w:p>
      <w:pPr>
        <w:pStyle w:val="ListBullet"/>
      </w:pPr>
      <w:r>
        <w:rPr>
          <w:rFonts w:ascii="Microsoft YaHei" w:hAnsi="Microsoft YaHei" w:eastAsia="微软雅黑"/>
          <w:sz w:val="21"/>
        </w:rPr>
        <w:t>Clinical｜硝苯地平相关 ClinicalTrials.gov 临床研究更新（NCT07649668）：建议结合研究设计、入排标准、终点和安全性信息判断对本品医学沟通、竞品监测或风险沟通的影响。</w:t>
      </w:r>
    </w:p>
    <w:p>
      <w:pPr>
        <w:pStyle w:val="ListBullet"/>
      </w:pPr>
      <w:r>
        <w:rPr>
          <w:rFonts w:ascii="Microsoft YaHei" w:hAnsi="Microsoft YaHei" w:eastAsia="微软雅黑"/>
          <w:sz w:val="21"/>
        </w:rPr>
        <w:t>Clinical｜缬沙坦相关 ClinicalTrials.gov 临床研究更新（NCT05991284）：建议结合研究设计、入排标准、终点和安全性信息判断对本品医学沟通、竞品监测或风险沟通的影响。</w:t>
      </w:r>
    </w:p>
    <w:p>
      <w:pPr>
        <w:pStyle w:val="ListBullet"/>
      </w:pPr>
      <w:r>
        <w:rPr>
          <w:rFonts w:ascii="Microsoft YaHei" w:hAnsi="Microsoft YaHei" w:eastAsia="微软雅黑"/>
          <w:sz w:val="21"/>
        </w:rPr>
        <w:t>Clinical｜硝苯地平相关 ClinicalTrials.gov 临床研究更新（NCT06915792）：建议结合研究设计、入排标准、终点和安全性信息判断对本品医学沟通、竞品监测或风险沟通的影响。</w:t>
      </w:r>
    </w:p>
    <w:p>
      <w:pPr>
        <w:pStyle w:val="ListBullet"/>
      </w:pPr>
      <w:r>
        <w:rPr>
          <w:rFonts w:ascii="Microsoft YaHei" w:hAnsi="Microsoft YaHei" w:eastAsia="微软雅黑"/>
          <w:sz w:val="21"/>
        </w:rPr>
        <w:t>Clinical｜左氨氯地平与氨氯地平踝部水肿比较研究：建议结合研究设计、入排标准、终点和安全性信息判断对本品医学沟通、竞品监测或风险沟通的影响。</w:t>
      </w:r>
    </w:p>
    <w:p>
      <w:pPr>
        <w:pStyle w:val="ListBullet"/>
      </w:pPr>
      <w:r>
        <w:rPr>
          <w:rFonts w:ascii="Microsoft YaHei" w:hAnsi="Microsoft YaHei" w:eastAsia="微软雅黑"/>
          <w:sz w:val="21"/>
        </w:rPr>
        <w:t>万方｜硝苯地平相关万方中文文献发布：建议结合研究设计、入排标准、终点和安全性信息判断对本品医学沟通、竞品监测或风险沟通的影响。</w:t>
      </w:r>
    </w:p>
    <w:p>
      <w:pPr>
        <w:pStyle w:val="ListBullet"/>
      </w:pPr>
      <w:r>
        <w:rPr>
          <w:rFonts w:ascii="Microsoft YaHei" w:hAnsi="Microsoft YaHei" w:eastAsia="微软雅黑"/>
          <w:sz w:val="21"/>
        </w:rPr>
        <w:t>专家侧建议优先核对高频专家/机构与产品线的关联，必要时补充会议报道原文和论文全文。</w:t>
      </w:r>
    </w:p>
    <w:sectPr w:rsidR="00FC693F" w:rsidRPr="0006063C" w:rsidSect="00034616">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微软雅黑"/>
      <w:b/>
      <w:bCs/>
      <w:color w:val="084F4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微软雅黑"/>
      <w:b/>
      <w:bCs/>
      <w:color w:val="17222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微软雅黑"/>
      <w:b/>
      <w:color w:val="084F4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