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Microsoft YaHei" w:hAnsi="Microsoft YaHei" w:eastAsia="Microsoft YaHei" w:cs="Microsoft YaHei"/>
          <w:b/>
          <w:color w:val="A47C3C"/>
          <w:sz w:val="20"/>
        </w:rPr>
        <w:t>世界设定集 · 阶段一剧情底稿</w:t>
      </w:r>
    </w:p>
    <w:p>
      <w:pPr>
        <w:pStyle w:val="Title"/>
        <w:jc w:val="center"/>
      </w:pPr>
      <w:r>
        <w:rPr>
          <w:rFonts w:ascii="Microsoft YaHei" w:hAnsi="Microsoft YaHei" w:eastAsia="Microsoft YaHei" w:cs="Microsoft YaHei"/>
          <w:b/>
          <w:color w:val="203748"/>
          <w:sz w:val="60"/>
        </w:rPr>
        <w:t>《青石江湖》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355D78"/>
          <w:sz w:val="30"/>
        </w:rPr>
        <w:t>世界观与剧情设计</w:t>
      </w:r>
    </w:p>
    <w:p>
      <w:pPr>
        <w:spacing w:before="320" w:after="1400"/>
        <w:jc w:val="center"/>
      </w:pPr>
      <w:r>
        <w:rPr>
          <w:rFonts w:ascii="Microsoft YaHei" w:hAnsi="Microsoft YaHei" w:eastAsia="Microsoft YaHei" w:cs="Microsoft YaHei"/>
          <w:i/>
          <w:color w:val="6B7780"/>
          <w:sz w:val="21"/>
        </w:rPr>
        <w:t>低魔武侠 · 县城危局 · 八日动态事件骨架</w:t>
      </w:r>
    </w:p>
    <w:p>
      <w:pPr>
        <w:spacing w:after="100"/>
        <w:jc w:val="center"/>
      </w:pPr>
      <w:r>
        <w:rPr>
          <w:rFonts w:ascii="Microsoft YaHei" w:hAnsi="Microsoft YaHei" w:eastAsia="Microsoft YaHei" w:cs="Microsoft YaHei"/>
          <w:b/>
          <w:color w:val="202529"/>
          <w:sz w:val="20"/>
        </w:rPr>
        <w:t>版本：阶段一剧情底稿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B7780"/>
          <w:sz w:val="19"/>
        </w:rPr>
        <w:t>范围：完整八日事件骨架；开场至第二日为当前优先可玩内容。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一、创作原则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《青石江湖》不是一条等待玩家完成的固定主线，而是一套会自行运转的县城危局。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大事件按照世界时间发生，不等待玩家接取任务。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玩家可以调查、交易、撒谎、站队、旁观或离开。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玩家说出口的话属于“主张”，不会自动改写世界事实。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NPC 只根据自身经历、立场与已经掌握的证据作答。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同一条线索在不同知识背景下会产生不同解释。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重要信息至少设置两条获取路径，避免一名 NPC 死亡就让剧情断裂。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玩家可以改变事件结果，但不能让整个世界为自己暂停。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二、世界基调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故事发生在大雍南部。十三年前，朝廷与主要江湖门派签订“止戈盟约”：登记门派不得公开割据，官府也不随意围剿守约门派。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这是一套低魔武侠世界：内功、点穴、奇毒和秘药真实存在，但不能让人脱离血肉之躯。高手仍会受伤、中毒和死亡。身份、路引、证据、人情与名声，往往比单纯武力更能决定一个人的处境。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青石县位于青石河与北山古道的交汇处。官盐由此转运南下；漕帮控制水路与脚夫；青岳门控制北山通道；县衙维持表面秩序，内部却已被利益渗透。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三、贯穿全局的核心秘密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官府档案中只存在一批“丁字十七号”官盐，但实际出现了两张几乎相同的盐引。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有人利用伪造盐引，在合法官盐的掩护下运输私盐与乌鳞散原料。县衙内鬼负责伪造印信，漕帮负责水路运输，青岳门现任大师兄暗中出售门派禁地中的原料。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三方并非忠诚同盟：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县衙内鬼准备在事败后把罪名全部推给漕帮。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青岳门大师兄准备销毁运输链，掩盖自己毒害掌门、争夺继承权的事实。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乔五察觉自己可能被灭口，准备扣下货物和账本反制另外两方。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三者彼此利用，也都准备在最后时刻背叛另外两方。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这使剧情不会收束为“击败唯一幕后黑手”。即使其中一人提前死亡，另外两方仍会继续行动。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四、核心线索：丁字十七号残缺盐引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盐引残片具有四层含义：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color w:val="202529"/>
          <w:sz w:val="21"/>
        </w:rPr>
        <w:t>纸面信息</w:t>
      </w:r>
      <w:r>
        <w:rPr>
          <w:rFonts w:ascii="Microsoft YaHei" w:hAnsi="Microsoft YaHei" w:eastAsia="Microsoft YaHei" w:cs="Microsoft YaHei"/>
          <w:color w:val="202529"/>
          <w:sz w:val="21"/>
        </w:rPr>
        <w:t>：能够辨认出“丁字十七”与残缺县衙火漆。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color w:val="202529"/>
          <w:sz w:val="21"/>
        </w:rPr>
        <w:t>黑鳞蜡痕</w:t>
      </w:r>
      <w:r>
        <w:rPr>
          <w:rFonts w:ascii="Microsoft YaHei" w:hAnsi="Microsoft YaHei" w:eastAsia="Microsoft YaHei" w:cs="Microsoft YaHei"/>
          <w:color w:val="202529"/>
          <w:sz w:val="21"/>
        </w:rPr>
        <w:t>：漕帮内部用于标记特殊货物的记号。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color w:val="202529"/>
          <w:sz w:val="21"/>
        </w:rPr>
        <w:t>苦涩药味</w:t>
      </w:r>
      <w:r>
        <w:rPr>
          <w:rFonts w:ascii="Microsoft YaHei" w:hAnsi="Microsoft YaHei" w:eastAsia="Microsoft YaHei" w:cs="Microsoft YaHei"/>
          <w:color w:val="202529"/>
          <w:sz w:val="21"/>
        </w:rPr>
        <w:t>：来自乌鳞散原料，需医术或医者帮助才能确认。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b/>
          <w:color w:val="202529"/>
          <w:sz w:val="21"/>
        </w:rPr>
        <w:t>伪造印信</w:t>
      </w:r>
      <w:r>
        <w:rPr>
          <w:rFonts w:ascii="Microsoft YaHei" w:hAnsi="Microsoft YaHei" w:eastAsia="Microsoft YaHei" w:cs="Microsoft YaHei"/>
          <w:color w:val="202529"/>
          <w:sz w:val="21"/>
        </w:rPr>
        <w:t>：需熟悉衙门文书的人与真盐引比对后才能确认。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不同人物的知识边界：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030"/>
        <w:gridCol w:w="4030"/>
      </w:tblGrid>
      <w:tr>
        <w:trPr>
          <w:tblHeader w:val="true"/>
        </w:trPr>
        <w:tc>
          <w:tcPr>
            <w:tcW w:type="dxa" w:w="1300"/>
            <w:shd w:fill="2449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人物</w:t>
            </w:r>
          </w:p>
        </w:tc>
        <w:tc>
          <w:tcPr>
            <w:tcW w:type="dxa" w:w="4030"/>
            <w:shd w:fill="2449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能确认的内容</w:t>
            </w:r>
          </w:p>
        </w:tc>
        <w:tc>
          <w:tcPr>
            <w:tcW w:type="dxa" w:w="4030"/>
            <w:shd w:fill="2449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不知道的内容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马三刀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黑鳞货车可以免检；乔五常走东侧小门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盐引用途、乌鳞散与刺杀计划</w:t>
            </w:r>
          </w:p>
        </w:tc>
      </w:tr>
      <w:tr>
        <w:tc>
          <w:tcPr>
            <w:tcW w:type="dxa" w:w="1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苏晚棠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私运抄账中有“丁十七”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假盐引由谁制作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顾清河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官盐账目长期亏空；县衙有人泄密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漕帮账本和刺客身份</w:t>
            </w:r>
          </w:p>
        </w:tc>
      </w:tr>
      <w:tr>
        <w:tc>
          <w:tcPr>
            <w:tcW w:type="dxa" w:w="1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宁不平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马三刀手脚不净；县令在查盐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青岳门遗嘱和刺杀日期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乔五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假盐引用于特殊货物；县衙有人接应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青岳门大师兄准备灭口</w:t>
            </w:r>
          </w:p>
        </w:tc>
      </w:tr>
      <w:tr>
        <w:tc>
          <w:tcPr>
            <w:tcW w:type="dxa" w:w="1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沈砚秋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黑色残留物与乌鳞散有关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谁在运输、谁伪造盐引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岳寒声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原料来自青岳门禁地；掌门之毒来自门内</w:t>
            </w:r>
          </w:p>
        </w:tc>
        <w:tc>
          <w:tcPr>
            <w:tcW w:type="dxa" w:w="4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县衙掌握了多少证据</w:t>
            </w:r>
          </w:p>
        </w:tc>
      </w:tr>
      <w:tr>
        <w:tc>
          <w:tcPr>
            <w:tcW w:type="dxa" w:w="1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陆观澜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师兄佩剑在码头出现；岳寒声秘密离山</w:t>
            </w:r>
          </w:p>
        </w:tc>
        <w:tc>
          <w:tcPr>
            <w:tcW w:type="dxa" w:w="403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自己的身世与完整运输链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五、开场事件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主角原本随一支商旅队伍经过青石县附近。暮雨中，队伍在县城三里外遭到袭击。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袭击者的目标不是主角，而是队伍中一名发现假盐引的账房先生。账房将盐引残片塞进主角破损的行囊，随后在混乱中失踪。主角被淬有少量乌鳞散的兵刃划伤，路引与部分财物也被夺走。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主角醒来时只掌握以下信息：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同行者已经失散。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身上有一道持续渗血的轻伤。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路引遗失，行囊被翻乱。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昏沉中曾听见袭击者喊“找丁字十七”。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天色将晚，附近唯一能及时抵达的安全地点是青石县。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盐引残片不会自动出现在玩家情报栏。玩家检查行囊后才能发现；检查伤口可以发现伤势异常；回忆袭击则能巩固“丁字十七”这一语句线索。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六、主角初始状态与需求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气血：78/100。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伤势：轻伤。若长时间不处理，气血会继续下降。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疲劳：65/100。赶路和长时间行动会增加疲劳。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路引：遗失。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碎银：保留少量藏在贴身处的银钱。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身份：主角知道自己的姓名与基本出身；不了解青石县和当地人物。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住宿与求医不是任务提示，而是系统需求：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客栈能够安全休息、恢复疲劳，但需要银钱并留下住宿记录。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医馆能够处理伤势并识别异常毒物，但可能要求说明受伤经过。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玩家也可以自行包扎、冒险露宿或寻找其他帮助，并承担相应代价。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七、八日固定事件时间轴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60"/>
        <w:gridCol w:w="4300"/>
      </w:tblGrid>
      <w:tr>
        <w:trPr>
          <w:tblHeader w:val="true"/>
        </w:trPr>
        <w:tc>
          <w:tcPr>
            <w:tcW w:type="dxa" w:w="1100"/>
            <w:shd w:fill="2449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故事日</w:t>
            </w:r>
          </w:p>
        </w:tc>
        <w:tc>
          <w:tcPr>
            <w:tcW w:type="dxa" w:w="3960"/>
            <w:shd w:fill="2449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必然发生的事件</w:t>
            </w:r>
          </w:p>
        </w:tc>
        <w:tc>
          <w:tcPr>
            <w:tcW w:type="dxa" w:w="4300"/>
            <w:shd w:fill="24495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可被改变的结果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第一日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商旅遇袭；主角抵达城门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是否发现盐引、如何解释身份、是否暴露伤势</w:t>
            </w:r>
          </w:p>
        </w:tc>
      </w:tr>
      <w:tr>
        <w:tc>
          <w:tcPr>
            <w:tcW w:type="dxa" w:w="11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第二日</w:t>
            </w:r>
          </w:p>
        </w:tc>
        <w:tc>
          <w:tcPr>
            <w:tcW w:type="dxa" w:w="396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河边发现一具带有相似伤口的无名尸体</w:t>
            </w:r>
          </w:p>
        </w:tc>
        <w:tc>
          <w:tcPr>
            <w:tcW w:type="dxa" w:w="4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尸体由谁检查、证物是否被取走、消息如何传播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第三日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丁字十七号货船抵达漕帮码头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货物被转移、扣押、焚毁或劫走</w:t>
            </w:r>
          </w:p>
        </w:tc>
      </w:tr>
      <w:tr>
        <w:tc>
          <w:tcPr>
            <w:tcW w:type="dxa" w:w="11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第四日</w:t>
            </w:r>
          </w:p>
        </w:tc>
        <w:tc>
          <w:tcPr>
            <w:tcW w:type="dxa" w:w="396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岳寒声负伤藏入城外破庙</w:t>
            </w:r>
          </w:p>
        </w:tc>
        <w:tc>
          <w:tcPr>
            <w:tcW w:type="dxa" w:w="4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遗嘱和信物落入不同势力之手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第五日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县令顾清河遭遇刺杀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死亡、中毒、获救、假死或误判凶手</w:t>
            </w:r>
          </w:p>
        </w:tc>
      </w:tr>
      <w:tr>
        <w:tc>
          <w:tcPr>
            <w:tcW w:type="dxa" w:w="11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第六日</w:t>
            </w:r>
          </w:p>
        </w:tc>
        <w:tc>
          <w:tcPr>
            <w:tcW w:type="dxa" w:w="396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青岳门宣布掌门去世</w:t>
            </w:r>
          </w:p>
        </w:tc>
        <w:tc>
          <w:tcPr>
            <w:tcW w:type="dxa" w:w="4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继承人身份是否公开，门派是否分裂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第七日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漕帮焚烧码头账房灭证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抄账、证人和货物是否保存</w:t>
            </w:r>
          </w:p>
        </w:tc>
      </w:tr>
      <w:tr>
        <w:tc>
          <w:tcPr>
            <w:tcW w:type="dxa" w:w="11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第八日</w:t>
            </w:r>
          </w:p>
        </w:tc>
        <w:tc>
          <w:tcPr>
            <w:tcW w:type="dxa" w:w="396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县衙封城，各方开始清算</w:t>
            </w:r>
          </w:p>
        </w:tc>
        <w:tc>
          <w:tcPr>
            <w:tcW w:type="dxa" w:w="4300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529"/>
                <w:sz w:val="18"/>
              </w:rPr>
              <w:t>谁控制城门、谁被通缉、哪一方掌握证据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事件只表示“行动发生”，不规定唯一结果。例如第五日刺杀必然发动，但县令不一定死亡。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八、第一日至第二日的可玩路径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355D78"/>
          <w:sz w:val="26"/>
        </w:rPr>
        <w:t>城门盘查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马三刀首先索要路引并询问籍贯、来由和城内落脚处。他不会为了教学而主动介绍地点。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玩家询问住宿，才会得知悦来客栈。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玩家说明伤势或求医，才会得知回春堂。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玩家提到丁字十七，马三刀会装作不懂并提高警惕。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玩家公开行贿，他会先顾忌同僚，再寻找私下交易机会。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玩家顶撞或威胁，他可能搜查、扣押或向漕帮通风报信。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355D78"/>
          <w:sz w:val="26"/>
        </w:rPr>
        <w:t>检查行囊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玩家可发现盐引残片。低洞察只能看出旧公文和编号；获得更多知识后，残片描述会逐层更新。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355D78"/>
          <w:sz w:val="26"/>
        </w:rPr>
        <w:t>检查伤口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玩家只能观察到伤口持续渗血、边缘发暗。医术不足时不能直接得知乌鳞散。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355D78"/>
          <w:sz w:val="26"/>
        </w:rPr>
        <w:t>回春堂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沈砚秋能处理轻伤，并察觉伤口与此前病例相似。第二日无名尸体出现后，他可以确认两者可能由同类毒物造成，但仍不知道运输链和幕后人物。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355D78"/>
          <w:sz w:val="26"/>
        </w:rPr>
        <w:t>悦来客栈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休息会推进数小时并恢复疲劳。苏晚棠会记录住客，也可能从玩家衣物、伤势和言辞中判断其是否与漕帮货物有关。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355D78"/>
          <w:sz w:val="26"/>
        </w:rPr>
        <w:t>第二日无名尸体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尸体在河边被发现，之后送往回春堂暂放。玩家只有到达相关地点、询问知情人或听到传播开的消息，才会知道事件发生。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九、自由选择与失败状态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玩家可以把线索交给、卖给或隐藏于任何势力，也可以撒谎声称自己具有某种身份。系统记录的是“玩家的主张”与“NPC是否相信”，而非直接修改真实背景。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过早公开“丁字十七”可能导致跟踪、搜查、绑架或灭口；冒充官差可能引起拘捕；向不同势力提供冲突说法会形成长期矛盾记录。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死亡可以发生，但应来自能够理解的风险累积：伤势恶化、极度疲劳、危险言论、战斗失败或遭到有准备的势力报复，而不是随机惩罚。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355D78"/>
          <w:sz w:val="32"/>
        </w:rPr>
        <w:t>十、阶段实施边界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当前阶段完整实现：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开场受袭状态；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伤势、疲劳与路引状态；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检查行囊、伤口和袭击记忆；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丁字十七残片与分层线索；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住宿休息与医馆治疗；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第二日无名尸体事件；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color w:val="202529"/>
          <w:sz w:val="21"/>
        </w:rPr>
        <w:t>八日事件定义、时间触发和存档字段。</w:t>
      </w:r>
    </w:p>
    <w:p>
      <w:pPr>
        <w:widowControl/>
      </w:pPr>
      <w:r>
        <w:rPr>
          <w:rFonts w:ascii="Microsoft YaHei" w:hAnsi="Microsoft YaHei" w:eastAsia="Microsoft YaHei" w:cs="Microsoft YaHei"/>
          <w:color w:val="202529"/>
          <w:sz w:val="21"/>
        </w:rPr>
        <w:t>第三日至第八日暂只建立事件骨架。后续扩写时必须继续遵守 NPC 知识边界，不能让一个人物为推进剧情而突然知道全部真相。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 w:cs="Microsoft YaHei"/>
        <w:color w:val="6B7780"/>
        <w:sz w:val="18"/>
      </w:rPr>
      <w:t xml:space="preserve">第 </w:t>
    </w:r>
    <w:r>
      <w:rPr>
        <w:rFonts w:ascii="Microsoft YaHei" w:hAnsi="Microsoft YaHei" w:eastAsia="Microsoft YaHei" w:cs="Microsoft YaHei"/>
        <w:color w:val="6B778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B7780"/>
        <w:sz w:val="18"/>
      </w:rPr>
      <w:t xml:space="preserve"> 页 / 共 </w:t>
    </w:r>
    <w:r>
      <w:rPr>
        <w:rFonts w:ascii="Microsoft YaHei" w:hAnsi="Microsoft YaHei" w:eastAsia="Microsoft YaHei" w:cs="Microsoft YaHei"/>
        <w:color w:val="6B778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B77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color w:val="6B7780"/>
        <w:sz w:val="17"/>
      </w:rPr>
      <w:t>青石江湖  ·  世界观与剧情设计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eastAsia="Microsoft YaHei" w:ascii="Microsoft YaHei" w:hAnsi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300" w:lineRule="auto"/>
      </w:pPr>
      <w:rPr>
        <w:rFonts w:eastAsia="Microsoft YaHei" w:ascii="Microsoft YaHei" w:hAnsi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55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55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9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355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《青石江湖》世界观与剧情设计</dc:title>
  <dc:subject>世界观、核心秘密、线索、八日事件时间轴与阶段实施边界</dc:subject>
  <dc:creator>青石江湖项目组</dc:creator>
  <cp:keywords>青石江湖, 世界观, 剧情设计, 武侠, 事件时间轴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