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3073C8" w:rsidP="00C2645F">
            <w:pPr>
              <w:jc w:val="center"/>
              <w:rPr>
                <w:rFonts w:cs="等线"/>
                <w:kern w:val="0"/>
                <w:sz w:val="20"/>
                <w:szCs w:val="20"/>
              </w:rPr>
            </w:pPr>
            <w:bookmarkStart w:id="0" w:name="_GoBack"/>
            <w:r w:rsidRPr="003073C8">
              <w:rPr>
                <w:rFonts w:cs="等线" w:hint="eastAsia"/>
                <w:kern w:val="0"/>
                <w:sz w:val="20"/>
                <w:szCs w:val="20"/>
              </w:rPr>
              <w:t>【选型】</w:t>
            </w:r>
            <w:r w:rsidR="00AF429C" w:rsidRPr="00AF429C">
              <w:rPr>
                <w:rFonts w:cs="等线" w:hint="eastAsia"/>
                <w:kern w:val="0"/>
                <w:sz w:val="20"/>
                <w:szCs w:val="20"/>
              </w:rPr>
              <w:t>京瓷低对比度（</w:t>
            </w:r>
            <w:r w:rsidR="00AF429C" w:rsidRPr="00AF429C">
              <w:rPr>
                <w:rFonts w:cs="等线"/>
                <w:kern w:val="0"/>
                <w:sz w:val="20"/>
                <w:szCs w:val="20"/>
              </w:rPr>
              <w:t>&lt;400）液晶显示屏选型</w:t>
            </w:r>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3073C8" w:rsidP="001619BE">
            <w:pPr>
              <w:jc w:val="center"/>
              <w:rPr>
                <w:kern w:val="0"/>
                <w:sz w:val="20"/>
                <w:szCs w:val="20"/>
              </w:rPr>
            </w:pPr>
            <w:r w:rsidRPr="003073C8">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521254" w:rsidP="001619BE">
            <w:pPr>
              <w:jc w:val="center"/>
              <w:rPr>
                <w:kern w:val="0"/>
                <w:sz w:val="20"/>
                <w:szCs w:val="20"/>
              </w:rPr>
            </w:pPr>
            <w:r w:rsidRPr="00521254">
              <w:rPr>
                <w:rFonts w:hint="eastAsia"/>
                <w:kern w:val="0"/>
                <w:sz w:val="20"/>
                <w:szCs w:val="20"/>
              </w:rPr>
              <w:t>显示屏，液晶显示屏，薄膜晶体管，</w:t>
            </w:r>
            <w:r w:rsidRPr="00521254">
              <w:rPr>
                <w:kern w:val="0"/>
                <w:sz w:val="20"/>
                <w:szCs w:val="20"/>
              </w:rPr>
              <w:t>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2E0B10" w:rsidP="00C41B7E">
            <w:pPr>
              <w:jc w:val="center"/>
              <w:rPr>
                <w:kern w:val="0"/>
                <w:sz w:val="20"/>
                <w:szCs w:val="20"/>
              </w:rPr>
            </w:pPr>
            <w:r w:rsidRPr="002E0B10">
              <w:rPr>
                <w:rFonts w:hint="eastAsia"/>
                <w:kern w:val="0"/>
                <w:sz w:val="20"/>
                <w:szCs w:val="20"/>
              </w:rPr>
              <w:t>智能家居，室内便携设备，小型监控设备</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596845" w:rsidP="00C41B7E">
            <w:pPr>
              <w:jc w:val="center"/>
              <w:rPr>
                <w:kern w:val="0"/>
                <w:sz w:val="20"/>
                <w:szCs w:val="20"/>
              </w:rPr>
            </w:pPr>
            <w:r>
              <w:rPr>
                <w:rFonts w:hint="eastAsia"/>
                <w:kern w:val="0"/>
                <w:sz w:val="20"/>
                <w:szCs w:val="20"/>
              </w:rPr>
              <w:t>亮度，对比度，尺寸，接口</w:t>
            </w:r>
            <w:r w:rsidR="002E0B10">
              <w:rPr>
                <w:rFonts w:hint="eastAsia"/>
                <w:kern w:val="0"/>
                <w:sz w:val="20"/>
                <w:szCs w:val="20"/>
              </w:rPr>
              <w:t>，重量</w:t>
            </w:r>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C0217D" w:rsidP="00A81417">
            <w:pPr>
              <w:jc w:val="center"/>
              <w:rPr>
                <w:kern w:val="0"/>
                <w:sz w:val="20"/>
                <w:szCs w:val="20"/>
              </w:rPr>
            </w:pPr>
            <w:r w:rsidRPr="00C0217D">
              <w:rPr>
                <w:rFonts w:hint="eastAsia"/>
                <w:kern w:val="0"/>
                <w:sz w:val="20"/>
                <w:szCs w:val="20"/>
              </w:rPr>
              <w:t>液晶显示器的对比度是指亮度的比值，在合理的亮度值下，对比度越高，其所能显示的色彩层次越丰富</w:t>
            </w:r>
            <w:r>
              <w:rPr>
                <w:rFonts w:hint="eastAsia"/>
                <w:kern w:val="0"/>
                <w:sz w:val="20"/>
                <w:szCs w:val="20"/>
              </w:rPr>
              <w:t>，但过高对比度会导致暗处细节的损失。</w:t>
            </w:r>
            <w:r w:rsidRPr="00C0217D">
              <w:rPr>
                <w:rFonts w:hint="eastAsia"/>
                <w:kern w:val="0"/>
                <w:sz w:val="20"/>
                <w:szCs w:val="20"/>
              </w:rPr>
              <w:t>本文介绍了</w:t>
            </w:r>
            <w:r w:rsidRPr="00C0217D">
              <w:rPr>
                <w:kern w:val="0"/>
                <w:sz w:val="20"/>
                <w:szCs w:val="20"/>
              </w:rPr>
              <w:t>Kyocera公司旗下的</w:t>
            </w:r>
            <w:r w:rsidR="00A81417" w:rsidRPr="00A81417">
              <w:rPr>
                <w:rFonts w:hint="eastAsia"/>
                <w:kern w:val="0"/>
                <w:sz w:val="20"/>
                <w:szCs w:val="20"/>
              </w:rPr>
              <w:t>对比度</w:t>
            </w:r>
            <w:r w:rsidR="00A81417">
              <w:rPr>
                <w:rFonts w:hint="eastAsia"/>
                <w:kern w:val="0"/>
                <w:sz w:val="20"/>
                <w:szCs w:val="20"/>
              </w:rPr>
              <w:t>小于4</w:t>
            </w:r>
            <w:r w:rsidR="00A81417">
              <w:rPr>
                <w:kern w:val="0"/>
                <w:sz w:val="20"/>
                <w:szCs w:val="20"/>
              </w:rPr>
              <w:t>00</w:t>
            </w:r>
            <w:r w:rsidR="00A81417">
              <w:rPr>
                <w:rFonts w:hint="eastAsia"/>
                <w:kern w:val="0"/>
                <w:sz w:val="20"/>
                <w:szCs w:val="20"/>
              </w:rPr>
              <w:t>:</w:t>
            </w:r>
            <w:r w:rsidR="00A81417">
              <w:rPr>
                <w:kern w:val="0"/>
                <w:sz w:val="20"/>
                <w:szCs w:val="20"/>
              </w:rPr>
              <w:t>1</w:t>
            </w:r>
            <w:r w:rsidR="00A81417">
              <w:rPr>
                <w:rFonts w:hint="eastAsia"/>
                <w:kern w:val="0"/>
                <w:sz w:val="20"/>
                <w:szCs w:val="20"/>
              </w:rPr>
              <w:t>的液晶显示器，</w:t>
            </w:r>
            <w:r w:rsidR="00596845">
              <w:rPr>
                <w:rFonts w:hint="eastAsia"/>
                <w:kern w:val="0"/>
                <w:sz w:val="20"/>
                <w:szCs w:val="20"/>
              </w:rPr>
              <w:t>从</w:t>
            </w:r>
            <w:r w:rsidR="00596845" w:rsidRPr="00596845">
              <w:rPr>
                <w:kern w:val="0"/>
                <w:sz w:val="20"/>
                <w:szCs w:val="20"/>
              </w:rPr>
              <w:t>I/O接口选型</w:t>
            </w:r>
            <w:r w:rsidR="00596845">
              <w:rPr>
                <w:rFonts w:hint="eastAsia"/>
                <w:kern w:val="0"/>
                <w:sz w:val="20"/>
                <w:szCs w:val="20"/>
              </w:rPr>
              <w:t>、</w:t>
            </w:r>
            <w:r w:rsidR="00A81417" w:rsidRPr="00A81417">
              <w:rPr>
                <w:rFonts w:hint="eastAsia"/>
                <w:kern w:val="0"/>
                <w:sz w:val="20"/>
                <w:szCs w:val="20"/>
              </w:rPr>
              <w:t>户外应用</w:t>
            </w:r>
            <w:r w:rsidR="00596845">
              <w:rPr>
                <w:rFonts w:hint="eastAsia"/>
                <w:kern w:val="0"/>
                <w:sz w:val="20"/>
                <w:szCs w:val="20"/>
              </w:rPr>
              <w:t>、</w:t>
            </w:r>
            <w:r w:rsidR="00A81417">
              <w:rPr>
                <w:rFonts w:hint="eastAsia"/>
                <w:kern w:val="0"/>
                <w:sz w:val="20"/>
                <w:szCs w:val="20"/>
              </w:rPr>
              <w:t>室内</w:t>
            </w:r>
            <w:r w:rsidR="00A81417" w:rsidRPr="00A81417">
              <w:rPr>
                <w:rFonts w:hint="eastAsia"/>
                <w:kern w:val="0"/>
                <w:sz w:val="20"/>
                <w:szCs w:val="20"/>
              </w:rPr>
              <w:t>应用</w:t>
            </w:r>
            <w:r w:rsidR="00596845">
              <w:rPr>
                <w:rFonts w:hint="eastAsia"/>
                <w:kern w:val="0"/>
                <w:sz w:val="20"/>
                <w:szCs w:val="20"/>
              </w:rPr>
              <w:t>三个方面入手给出了选型建议。</w:t>
            </w:r>
          </w:p>
        </w:tc>
      </w:tr>
    </w:tbl>
    <w:p w:rsidR="008868F3" w:rsidRDefault="008868F3" w:rsidP="00A57D84">
      <w:r w:rsidRPr="008868F3">
        <w:rPr>
          <w:rFonts w:hint="eastAsia"/>
        </w:rPr>
        <w:t>液晶显示屏，主要用于文字或图像信息的屏幕显示。不同于</w:t>
      </w:r>
      <w:r w:rsidRPr="008868F3">
        <w:t>CRT技术，液晶显示器画面不会闪烁，可以减少显示器对眼睛的伤害，眼睛不容易疲劳。</w:t>
      </w:r>
      <w:r w:rsidR="00AF429C" w:rsidRPr="00AF429C">
        <w:rPr>
          <w:rFonts w:hint="eastAsia"/>
        </w:rPr>
        <w:t>纤薄轻巧，同时避免了传统</w:t>
      </w:r>
      <w:r w:rsidR="00AF429C" w:rsidRPr="00AF429C">
        <w:t>CRT显示器图像几何失真，线性失真等无法根本消除的现象。</w:t>
      </w:r>
    </w:p>
    <w:p w:rsidR="008868F3" w:rsidRDefault="008868F3" w:rsidP="00A57D84"/>
    <w:p w:rsidR="00AF429C" w:rsidRDefault="00AF429C" w:rsidP="00A57D84">
      <w:r w:rsidRPr="00AF429C">
        <w:rPr>
          <w:rFonts w:hint="eastAsia"/>
        </w:rPr>
        <w:t>液晶显示器的对比度是</w:t>
      </w:r>
      <w:r>
        <w:rPr>
          <w:rFonts w:hint="eastAsia"/>
        </w:rPr>
        <w:t>指</w:t>
      </w:r>
      <w:r w:rsidRPr="00AF429C">
        <w:rPr>
          <w:rFonts w:hint="eastAsia"/>
        </w:rPr>
        <w:t>亮度的比值，把白色信号在</w:t>
      </w:r>
      <w:r w:rsidRPr="00AF429C">
        <w:t>100%和0%的饱和度相减，再除以Lux(光照度)为计量单位下0%的白色值所得到的数值。因此白色越亮、黑色越暗，对比度就越高。对比度是液晶显示器的一个重要参数，在合理的亮度值下，对比度越高，其所能显示的色彩层次越丰富。</w:t>
      </w:r>
    </w:p>
    <w:p w:rsidR="00AF429C" w:rsidRDefault="00AF429C" w:rsidP="00A57D84"/>
    <w:p w:rsidR="00AF429C" w:rsidRDefault="00AF429C" w:rsidP="00A57D84">
      <w:pPr>
        <w:rPr>
          <w:rFonts w:hint="eastAsia"/>
        </w:rPr>
      </w:pPr>
      <w:r>
        <w:rPr>
          <w:rFonts w:hint="eastAsia"/>
        </w:rPr>
        <w:t>实际应用中，一般5</w:t>
      </w:r>
      <w:r>
        <w:t>00</w:t>
      </w:r>
      <w:r>
        <w:rPr>
          <w:rFonts w:hint="eastAsia"/>
        </w:rPr>
        <w:t>:</w:t>
      </w:r>
      <w:r>
        <w:t>1</w:t>
      </w:r>
      <w:r>
        <w:rPr>
          <w:rFonts w:hint="eastAsia"/>
        </w:rPr>
        <w:t>的对比度足够满足日常应用</w:t>
      </w:r>
      <w:r w:rsidR="00216917">
        <w:rPr>
          <w:rFonts w:hint="eastAsia"/>
        </w:rPr>
        <w:t>。</w:t>
      </w:r>
      <w:r w:rsidR="00216917" w:rsidRPr="00216917">
        <w:rPr>
          <w:rFonts w:hint="eastAsia"/>
        </w:rPr>
        <w:t>每个人对亮度、色彩的感觉是不同的，总体标准建议为：</w:t>
      </w:r>
      <w:r w:rsidR="00216917">
        <w:rPr>
          <w:rFonts w:hint="eastAsia"/>
        </w:rPr>
        <w:t>长时间观看</w:t>
      </w:r>
      <w:r w:rsidR="00216917" w:rsidRPr="00216917">
        <w:rPr>
          <w:rFonts w:hint="eastAsia"/>
        </w:rPr>
        <w:t>显示器眼睛不会</w:t>
      </w:r>
      <w:r w:rsidR="00216917">
        <w:rPr>
          <w:rFonts w:hint="eastAsia"/>
        </w:rPr>
        <w:t>有</w:t>
      </w:r>
      <w:r w:rsidR="00216917" w:rsidRPr="00216917">
        <w:rPr>
          <w:rFonts w:hint="eastAsia"/>
        </w:rPr>
        <w:t>疲劳</w:t>
      </w:r>
      <w:r w:rsidR="00216917">
        <w:rPr>
          <w:rFonts w:hint="eastAsia"/>
        </w:rPr>
        <w:t>感</w:t>
      </w:r>
      <w:r w:rsidR="00216917" w:rsidRPr="00216917">
        <w:rPr>
          <w:rFonts w:hint="eastAsia"/>
        </w:rPr>
        <w:t>，亮度适当偏低为宜，对比度保持中等为宜。</w:t>
      </w:r>
      <w:r w:rsidR="00216917">
        <w:rPr>
          <w:rFonts w:hint="eastAsia"/>
        </w:rPr>
        <w:t>过高的对比度反而一定程度上损失了图像的细节场景（暗处更暗）。</w:t>
      </w:r>
      <w:r w:rsidR="00216917" w:rsidRPr="00216917">
        <w:t>Kyocera(京瓷)公司</w:t>
      </w:r>
      <w:r w:rsidR="00216917">
        <w:rPr>
          <w:rFonts w:hint="eastAsia"/>
        </w:rPr>
        <w:t>推出的液晶显示屏</w:t>
      </w:r>
      <w:r w:rsidR="00216917" w:rsidRPr="00216917">
        <w:rPr>
          <w:rFonts w:hint="eastAsia"/>
        </w:rPr>
        <w:t>规格型号、尺寸系列化，品种多样，使用方便</w:t>
      </w:r>
      <w:r w:rsidR="00216917" w:rsidRPr="00216917">
        <w:rPr>
          <w:rFonts w:hint="eastAsia"/>
        </w:rPr>
        <w:lastRenderedPageBreak/>
        <w:t>灵活，同时便于维修、更新与升级。</w:t>
      </w:r>
      <w:r w:rsidR="00945217" w:rsidRPr="00945217">
        <w:rPr>
          <w:rFonts w:hint="eastAsia"/>
        </w:rPr>
        <w:t>其产品主要应用于工业、车载和医疗领域。</w:t>
      </w:r>
    </w:p>
    <w:p w:rsidR="00AF429C" w:rsidRDefault="00AF429C" w:rsidP="00A57D84">
      <w:pPr>
        <w:rPr>
          <w:rFonts w:hint="eastAsia"/>
        </w:rPr>
      </w:pPr>
    </w:p>
    <w:p w:rsidR="00AF429C" w:rsidRDefault="00AF429C" w:rsidP="00A57D84"/>
    <w:p w:rsidR="00AF429C" w:rsidRPr="00216917" w:rsidRDefault="00945217" w:rsidP="00A57D84">
      <w:r w:rsidRPr="00945217">
        <w:rPr>
          <w:rFonts w:hint="eastAsia"/>
        </w:rPr>
        <w:t>图</w:t>
      </w:r>
      <w:r w:rsidRPr="00945217">
        <w:t>1：Kyocera</w:t>
      </w:r>
      <w:r w:rsidRPr="00945217">
        <w:rPr>
          <w:rFonts w:hint="eastAsia"/>
        </w:rPr>
        <w:t>低对比度（</w:t>
      </w:r>
      <w:r w:rsidRPr="00945217">
        <w:t>&lt;400）液晶显示屏选型指南</w:t>
      </w:r>
    </w:p>
    <w:p w:rsidR="00AF429C" w:rsidRDefault="00AF429C" w:rsidP="00A57D84"/>
    <w:p w:rsidR="00AF429C" w:rsidRPr="00945217" w:rsidRDefault="00945217" w:rsidP="00A57D84">
      <w:r>
        <w:rPr>
          <w:rFonts w:hint="eastAsia"/>
        </w:rPr>
        <w:t>如图1所示，</w:t>
      </w:r>
      <w:r w:rsidRPr="00945217">
        <w:t>Kyocera(京瓷)公司</w:t>
      </w:r>
      <w:r>
        <w:rPr>
          <w:rFonts w:hint="eastAsia"/>
        </w:rPr>
        <w:t>一共推出了</w:t>
      </w:r>
      <w:r w:rsidR="004233C4">
        <w:rPr>
          <w:rFonts w:hint="eastAsia"/>
        </w:rPr>
        <w:t>9款对比度小于4</w:t>
      </w:r>
      <w:r w:rsidR="004233C4">
        <w:t>00</w:t>
      </w:r>
      <w:r w:rsidR="004233C4">
        <w:rPr>
          <w:rFonts w:hint="eastAsia"/>
        </w:rPr>
        <w:t>:</w:t>
      </w:r>
      <w:r w:rsidR="004233C4">
        <w:t>1</w:t>
      </w:r>
      <w:r w:rsidR="004233C4">
        <w:rPr>
          <w:rFonts w:hint="eastAsia"/>
        </w:rPr>
        <w:t>的液晶显示屏，</w:t>
      </w:r>
      <w:r w:rsidR="004233C4" w:rsidRPr="004233C4">
        <w:rPr>
          <w:rFonts w:hint="eastAsia"/>
        </w:rPr>
        <w:t>采用</w:t>
      </w:r>
      <w:r w:rsidR="004233C4" w:rsidRPr="004233C4">
        <w:t>LED背光，功耗和安全性均好于CCFL，续航时间长。属于全透液晶屏，因而在弱光、无光条件下表现良好。</w:t>
      </w:r>
    </w:p>
    <w:p w:rsidR="00AF429C" w:rsidRDefault="00AF429C" w:rsidP="00A57D84"/>
    <w:p w:rsidR="00945217" w:rsidRDefault="004233C4" w:rsidP="00A57D84">
      <w:r w:rsidRPr="004233C4">
        <w:rPr>
          <w:rFonts w:ascii="微软雅黑" w:eastAsia="微软雅黑" w:hAnsi="微软雅黑" w:cs="微软雅黑" w:hint="eastAsia"/>
        </w:rPr>
        <w:t>•</w:t>
      </w:r>
      <w:r w:rsidRPr="004233C4">
        <w:t xml:space="preserve"> I/O接口选型</w:t>
      </w:r>
    </w:p>
    <w:p w:rsidR="00945217" w:rsidRDefault="004233C4" w:rsidP="00A57D84">
      <w:r w:rsidRPr="004233C4">
        <w:rPr>
          <w:rFonts w:hint="eastAsia"/>
        </w:rPr>
        <w:t>当驱动板已设计好时，选用液晶屏时需要考虑其接口形式。所示产品中，</w:t>
      </w:r>
      <w:r w:rsidRPr="004233C4">
        <w:t>TG057QVLGF-G00</w:t>
      </w:r>
      <w:r>
        <w:rPr>
          <w:rFonts w:hint="eastAsia"/>
        </w:rPr>
        <w:t>采用</w:t>
      </w:r>
      <w:r w:rsidRPr="004233C4">
        <w:t>18位RGB</w:t>
      </w:r>
      <w:r>
        <w:rPr>
          <w:rFonts w:hint="eastAsia"/>
        </w:rPr>
        <w:t>接口，</w:t>
      </w:r>
      <w:r w:rsidRPr="004233C4">
        <w:rPr>
          <w:rFonts w:hint="eastAsia"/>
        </w:rPr>
        <w:t>该接口设计不必在液晶显示器的驱动板端和液晶面板端使用专用的接口电路，而是将</w:t>
      </w:r>
      <w:r w:rsidRPr="004233C4">
        <w:t>RGB信号直接送给TFT-LCD。T-55619GD065J-LW-ABN</w:t>
      </w:r>
      <w:r>
        <w:rPr>
          <w:rFonts w:hint="eastAsia"/>
        </w:rPr>
        <w:t>采用</w:t>
      </w:r>
      <w:r w:rsidR="00B256A8" w:rsidRPr="00B256A8">
        <w:t>LVDS</w:t>
      </w:r>
      <w:r w:rsidR="00B256A8">
        <w:rPr>
          <w:rFonts w:hint="eastAsia"/>
        </w:rPr>
        <w:t>接口，</w:t>
      </w:r>
      <w:r w:rsidR="00B256A8" w:rsidRPr="00B256A8">
        <w:rPr>
          <w:rFonts w:hint="eastAsia"/>
        </w:rPr>
        <w:t>具有低功耗、低误码率、低串扰和低辐射等特点，同时信号完整性、低抖动及共模特性上都有很好的表现。</w:t>
      </w:r>
      <w:r w:rsidR="00B256A8">
        <w:rPr>
          <w:rFonts w:hint="eastAsia"/>
        </w:rPr>
        <w:t>其余产品采用CMOS接口，</w:t>
      </w:r>
      <w:r w:rsidR="00B256A8" w:rsidRPr="00B256A8">
        <w:rPr>
          <w:rFonts w:hint="eastAsia"/>
        </w:rPr>
        <w:t>具有输入阻抗较高，输出阻抗较低的特性，同时集成度高、功耗小、速度快、成本低，便于工业化安装与维护。</w:t>
      </w:r>
    </w:p>
    <w:p w:rsidR="00945217" w:rsidRDefault="00945217" w:rsidP="00A57D84"/>
    <w:p w:rsidR="00945217" w:rsidRDefault="00B256A8" w:rsidP="00A57D84">
      <w:r w:rsidRPr="00B256A8">
        <w:rPr>
          <w:rFonts w:ascii="微软雅黑" w:eastAsia="微软雅黑" w:hAnsi="微软雅黑" w:cs="微软雅黑" w:hint="eastAsia"/>
        </w:rPr>
        <w:t>•</w:t>
      </w:r>
      <w:r w:rsidRPr="00B256A8">
        <w:t xml:space="preserve"> </w:t>
      </w:r>
      <w:r>
        <w:rPr>
          <w:rFonts w:hint="eastAsia"/>
        </w:rPr>
        <w:t>户外应用</w:t>
      </w:r>
      <w:r w:rsidRPr="00B256A8">
        <w:t>选型</w:t>
      </w:r>
    </w:p>
    <w:p w:rsidR="004233C4" w:rsidRDefault="00B256A8" w:rsidP="00A57D84">
      <w:pPr>
        <w:rPr>
          <w:rFonts w:hint="eastAsia"/>
        </w:rPr>
      </w:pPr>
      <w:r>
        <w:rPr>
          <w:rFonts w:hint="eastAsia"/>
        </w:rPr>
        <w:lastRenderedPageBreak/>
        <w:t>户外应用时，对于液晶屏的选型需要考虑亮度值，太小的话容易辨识困难。图示产品中，</w:t>
      </w:r>
      <w:r w:rsidRPr="00B256A8">
        <w:t>TG057QVLGF-G00</w:t>
      </w:r>
      <w:r>
        <w:rPr>
          <w:rFonts w:hint="eastAsia"/>
        </w:rPr>
        <w:t>具有</w:t>
      </w:r>
      <w:r w:rsidRPr="00B256A8">
        <w:t>1100</w:t>
      </w:r>
      <w:r>
        <w:rPr>
          <w:rFonts w:hint="eastAsia"/>
        </w:rPr>
        <w:t>尼特的亮度，同时能够提供</w:t>
      </w:r>
      <w:r w:rsidRPr="00B256A8">
        <w:t>400:1</w:t>
      </w:r>
      <w:r>
        <w:rPr>
          <w:rFonts w:hint="eastAsia"/>
        </w:rPr>
        <w:t>的对比度，是一款5</w:t>
      </w:r>
      <w:r>
        <w:t>.7</w:t>
      </w:r>
      <w:r>
        <w:rPr>
          <w:rFonts w:hint="eastAsia"/>
        </w:rPr>
        <w:t>寸的单色屏。但是分辨率相对较低，仅为</w:t>
      </w:r>
      <w:r w:rsidRPr="00B256A8">
        <w:t>320X240</w:t>
      </w:r>
      <w:r>
        <w:rPr>
          <w:rFonts w:hint="eastAsia"/>
        </w:rPr>
        <w:t>。若对于分辨率有需求，可以考虑</w:t>
      </w:r>
      <w:r w:rsidRPr="00B256A8">
        <w:t>TCG043WQLBAANN-GN50</w:t>
      </w:r>
      <w:r>
        <w:rPr>
          <w:rFonts w:hint="eastAsia"/>
        </w:rPr>
        <w:t>，它的亮度值略有减小，但质量仅为7</w:t>
      </w:r>
      <w:r>
        <w:t>5</w:t>
      </w:r>
      <w:r>
        <w:rPr>
          <w:rFonts w:hint="eastAsia"/>
        </w:rPr>
        <w:t>g，特别适合于便携设备的设计。</w:t>
      </w:r>
    </w:p>
    <w:p w:rsidR="004233C4" w:rsidRDefault="004233C4" w:rsidP="00A57D84">
      <w:pPr>
        <w:rPr>
          <w:rFonts w:hint="eastAsia"/>
        </w:rPr>
      </w:pPr>
    </w:p>
    <w:p w:rsidR="00945217" w:rsidRDefault="00B256A8" w:rsidP="00A57D84">
      <w:r w:rsidRPr="00B256A8">
        <w:rPr>
          <w:rFonts w:ascii="微软雅黑" w:eastAsia="微软雅黑" w:hAnsi="微软雅黑" w:cs="微软雅黑" w:hint="eastAsia"/>
        </w:rPr>
        <w:t>•</w:t>
      </w:r>
      <w:r w:rsidRPr="00B256A8">
        <w:t xml:space="preserve"> </w:t>
      </w:r>
      <w:r>
        <w:rPr>
          <w:rFonts w:hint="eastAsia"/>
        </w:rPr>
        <w:t>室内</w:t>
      </w:r>
      <w:r w:rsidRPr="00B256A8">
        <w:t>应用选型</w:t>
      </w:r>
    </w:p>
    <w:p w:rsidR="00945217" w:rsidRDefault="00B256A8" w:rsidP="00A57D84">
      <w:r>
        <w:rPr>
          <w:rFonts w:hint="eastAsia"/>
        </w:rPr>
        <w:t>此类液晶屏由于尺寸原因，常用于便携设备的设计当中，此时，产品的续航也是我们需要考虑的一个因素。</w:t>
      </w:r>
      <w:r w:rsidR="00324CFD">
        <w:rPr>
          <w:rFonts w:hint="eastAsia"/>
        </w:rPr>
        <w:t>影响续航的一个重要因素就是亮度，因而推荐</w:t>
      </w:r>
      <w:r w:rsidR="00324CFD" w:rsidRPr="00324CFD">
        <w:t>TCG043WQLBAANN-GN00</w:t>
      </w:r>
      <w:r w:rsidR="00324CFD">
        <w:rPr>
          <w:rFonts w:hint="eastAsia"/>
        </w:rPr>
        <w:t>这款产品，</w:t>
      </w:r>
      <w:r w:rsidR="003A437B">
        <w:rPr>
          <w:rFonts w:hint="eastAsia"/>
        </w:rPr>
        <w:t>它的亮度为4</w:t>
      </w:r>
      <w:r w:rsidR="003A437B">
        <w:t>50</w:t>
      </w:r>
      <w:r w:rsidR="003A437B">
        <w:rPr>
          <w:rFonts w:hint="eastAsia"/>
        </w:rPr>
        <w:t>尼特，能满足室内场景应用，同时质量仅为7</w:t>
      </w:r>
      <w:r w:rsidR="003A437B">
        <w:t>5</w:t>
      </w:r>
      <w:r w:rsidR="003A437B">
        <w:rPr>
          <w:rFonts w:hint="eastAsia"/>
        </w:rPr>
        <w:t>g，便于手持，采用超薄设计，厚度仅为5</w:t>
      </w:r>
      <w:r w:rsidR="003A437B">
        <w:t>.9</w:t>
      </w:r>
      <w:r w:rsidR="003A437B">
        <w:rPr>
          <w:rFonts w:hint="eastAsia"/>
        </w:rPr>
        <w:t>mm。</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21A" w:rsidRDefault="007E621A" w:rsidP="00073650">
      <w:r>
        <w:separator/>
      </w:r>
    </w:p>
  </w:endnote>
  <w:endnote w:type="continuationSeparator" w:id="0">
    <w:p w:rsidR="007E621A" w:rsidRDefault="007E621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21A" w:rsidRDefault="007E621A" w:rsidP="00073650">
      <w:r>
        <w:separator/>
      </w:r>
    </w:p>
  </w:footnote>
  <w:footnote w:type="continuationSeparator" w:id="0">
    <w:p w:rsidR="007E621A" w:rsidRDefault="007E621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290E"/>
    <w:rsid w:val="00065042"/>
    <w:rsid w:val="00073650"/>
    <w:rsid w:val="00077845"/>
    <w:rsid w:val="000864C9"/>
    <w:rsid w:val="0009571A"/>
    <w:rsid w:val="0009742D"/>
    <w:rsid w:val="000A3E6E"/>
    <w:rsid w:val="000B375E"/>
    <w:rsid w:val="000D5499"/>
    <w:rsid w:val="000D6E02"/>
    <w:rsid w:val="000E75E6"/>
    <w:rsid w:val="000F5ACD"/>
    <w:rsid w:val="00102DDC"/>
    <w:rsid w:val="0011128C"/>
    <w:rsid w:val="00114477"/>
    <w:rsid w:val="0011572F"/>
    <w:rsid w:val="00141CFB"/>
    <w:rsid w:val="001619BE"/>
    <w:rsid w:val="001875CF"/>
    <w:rsid w:val="001B1E6B"/>
    <w:rsid w:val="001C54FF"/>
    <w:rsid w:val="001C7F76"/>
    <w:rsid w:val="00207EC1"/>
    <w:rsid w:val="00216917"/>
    <w:rsid w:val="00226E56"/>
    <w:rsid w:val="00272690"/>
    <w:rsid w:val="00277E6F"/>
    <w:rsid w:val="00280BD3"/>
    <w:rsid w:val="002A15D4"/>
    <w:rsid w:val="002A3B30"/>
    <w:rsid w:val="002C139B"/>
    <w:rsid w:val="002D3458"/>
    <w:rsid w:val="002E0B10"/>
    <w:rsid w:val="002F6855"/>
    <w:rsid w:val="003073C8"/>
    <w:rsid w:val="00324CFD"/>
    <w:rsid w:val="0034052C"/>
    <w:rsid w:val="00340959"/>
    <w:rsid w:val="0034139B"/>
    <w:rsid w:val="00353ADB"/>
    <w:rsid w:val="00371F6F"/>
    <w:rsid w:val="00374554"/>
    <w:rsid w:val="00376ACA"/>
    <w:rsid w:val="0039017F"/>
    <w:rsid w:val="003936AF"/>
    <w:rsid w:val="00394B61"/>
    <w:rsid w:val="003A437B"/>
    <w:rsid w:val="00405675"/>
    <w:rsid w:val="0040783E"/>
    <w:rsid w:val="00407C10"/>
    <w:rsid w:val="00412036"/>
    <w:rsid w:val="004151A8"/>
    <w:rsid w:val="0041731D"/>
    <w:rsid w:val="004233C4"/>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1254"/>
    <w:rsid w:val="0052233B"/>
    <w:rsid w:val="00525793"/>
    <w:rsid w:val="00527617"/>
    <w:rsid w:val="005346BE"/>
    <w:rsid w:val="0054270A"/>
    <w:rsid w:val="00542FE4"/>
    <w:rsid w:val="005441D3"/>
    <w:rsid w:val="0055445E"/>
    <w:rsid w:val="00596845"/>
    <w:rsid w:val="005B206B"/>
    <w:rsid w:val="005B6C14"/>
    <w:rsid w:val="005D0B72"/>
    <w:rsid w:val="005D3FAC"/>
    <w:rsid w:val="005D6297"/>
    <w:rsid w:val="005E4657"/>
    <w:rsid w:val="005E75F4"/>
    <w:rsid w:val="0067243D"/>
    <w:rsid w:val="006738E7"/>
    <w:rsid w:val="0069464D"/>
    <w:rsid w:val="006955B0"/>
    <w:rsid w:val="006A644E"/>
    <w:rsid w:val="006B1CB7"/>
    <w:rsid w:val="006D4131"/>
    <w:rsid w:val="006E3FE1"/>
    <w:rsid w:val="00701FB6"/>
    <w:rsid w:val="00711D8B"/>
    <w:rsid w:val="0071241C"/>
    <w:rsid w:val="00715DBA"/>
    <w:rsid w:val="00722D55"/>
    <w:rsid w:val="00732836"/>
    <w:rsid w:val="00732C1B"/>
    <w:rsid w:val="007526F6"/>
    <w:rsid w:val="00785018"/>
    <w:rsid w:val="00790E32"/>
    <w:rsid w:val="007A2D48"/>
    <w:rsid w:val="007B0C30"/>
    <w:rsid w:val="007C579F"/>
    <w:rsid w:val="007E621A"/>
    <w:rsid w:val="0081266A"/>
    <w:rsid w:val="00815266"/>
    <w:rsid w:val="0081648B"/>
    <w:rsid w:val="00842F72"/>
    <w:rsid w:val="0084518B"/>
    <w:rsid w:val="008508D1"/>
    <w:rsid w:val="00853A1B"/>
    <w:rsid w:val="00863DA4"/>
    <w:rsid w:val="0087314E"/>
    <w:rsid w:val="008868F3"/>
    <w:rsid w:val="008E4F8E"/>
    <w:rsid w:val="008F05EF"/>
    <w:rsid w:val="008F721D"/>
    <w:rsid w:val="008F7EF0"/>
    <w:rsid w:val="009050BC"/>
    <w:rsid w:val="0091636E"/>
    <w:rsid w:val="009173C2"/>
    <w:rsid w:val="0092657F"/>
    <w:rsid w:val="00926607"/>
    <w:rsid w:val="00945217"/>
    <w:rsid w:val="00957E96"/>
    <w:rsid w:val="009841A8"/>
    <w:rsid w:val="009A4FB3"/>
    <w:rsid w:val="009C1901"/>
    <w:rsid w:val="009C6B61"/>
    <w:rsid w:val="009C77E4"/>
    <w:rsid w:val="009D7639"/>
    <w:rsid w:val="009E0DA1"/>
    <w:rsid w:val="009F5F4A"/>
    <w:rsid w:val="009F6329"/>
    <w:rsid w:val="00A005A4"/>
    <w:rsid w:val="00A1014F"/>
    <w:rsid w:val="00A17359"/>
    <w:rsid w:val="00A4020D"/>
    <w:rsid w:val="00A52692"/>
    <w:rsid w:val="00A57D84"/>
    <w:rsid w:val="00A660EF"/>
    <w:rsid w:val="00A70D56"/>
    <w:rsid w:val="00A755E1"/>
    <w:rsid w:val="00A81417"/>
    <w:rsid w:val="00A81B1E"/>
    <w:rsid w:val="00A90677"/>
    <w:rsid w:val="00AC71F0"/>
    <w:rsid w:val="00AD2585"/>
    <w:rsid w:val="00AD706B"/>
    <w:rsid w:val="00AE5EF7"/>
    <w:rsid w:val="00AE7ED9"/>
    <w:rsid w:val="00AF429C"/>
    <w:rsid w:val="00B056C6"/>
    <w:rsid w:val="00B07A03"/>
    <w:rsid w:val="00B11F02"/>
    <w:rsid w:val="00B256A8"/>
    <w:rsid w:val="00B26F93"/>
    <w:rsid w:val="00B3053A"/>
    <w:rsid w:val="00B34FE9"/>
    <w:rsid w:val="00B602DD"/>
    <w:rsid w:val="00B60934"/>
    <w:rsid w:val="00B61831"/>
    <w:rsid w:val="00BA0154"/>
    <w:rsid w:val="00BB2C8A"/>
    <w:rsid w:val="00BC0D5C"/>
    <w:rsid w:val="00BC1E72"/>
    <w:rsid w:val="00BE090A"/>
    <w:rsid w:val="00BE479D"/>
    <w:rsid w:val="00C01495"/>
    <w:rsid w:val="00C0217D"/>
    <w:rsid w:val="00C13672"/>
    <w:rsid w:val="00C17C24"/>
    <w:rsid w:val="00C2645F"/>
    <w:rsid w:val="00C37B7B"/>
    <w:rsid w:val="00C41B7E"/>
    <w:rsid w:val="00C51117"/>
    <w:rsid w:val="00C73A81"/>
    <w:rsid w:val="00C74790"/>
    <w:rsid w:val="00C754DB"/>
    <w:rsid w:val="00CA7B69"/>
    <w:rsid w:val="00CB3677"/>
    <w:rsid w:val="00CB3ABE"/>
    <w:rsid w:val="00CE49DC"/>
    <w:rsid w:val="00CE6D0F"/>
    <w:rsid w:val="00CF5725"/>
    <w:rsid w:val="00CF6DC1"/>
    <w:rsid w:val="00D36C8B"/>
    <w:rsid w:val="00D46164"/>
    <w:rsid w:val="00D6185B"/>
    <w:rsid w:val="00D6202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1D44"/>
    <w:rsid w:val="00F63B70"/>
    <w:rsid w:val="00F67EE0"/>
    <w:rsid w:val="00F7770D"/>
    <w:rsid w:val="00FA364E"/>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9CCB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0421">
      <w:bodyDiv w:val="1"/>
      <w:marLeft w:val="0"/>
      <w:marRight w:val="0"/>
      <w:marTop w:val="0"/>
      <w:marBottom w:val="0"/>
      <w:divBdr>
        <w:top w:val="none" w:sz="0" w:space="0" w:color="auto"/>
        <w:left w:val="none" w:sz="0" w:space="0" w:color="auto"/>
        <w:bottom w:val="none" w:sz="0" w:space="0" w:color="auto"/>
        <w:right w:val="none" w:sz="0" w:space="0" w:color="auto"/>
      </w:divBdr>
    </w:div>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48844039">
      <w:bodyDiv w:val="1"/>
      <w:marLeft w:val="0"/>
      <w:marRight w:val="0"/>
      <w:marTop w:val="0"/>
      <w:marBottom w:val="0"/>
      <w:divBdr>
        <w:top w:val="none" w:sz="0" w:space="0" w:color="auto"/>
        <w:left w:val="none" w:sz="0" w:space="0" w:color="auto"/>
        <w:bottom w:val="none" w:sz="0" w:space="0" w:color="auto"/>
        <w:right w:val="none" w:sz="0" w:space="0" w:color="auto"/>
      </w:divBdr>
    </w:div>
    <w:div w:id="69159506">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77355758">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66222803">
      <w:bodyDiv w:val="1"/>
      <w:marLeft w:val="0"/>
      <w:marRight w:val="0"/>
      <w:marTop w:val="0"/>
      <w:marBottom w:val="0"/>
      <w:divBdr>
        <w:top w:val="none" w:sz="0" w:space="0" w:color="auto"/>
        <w:left w:val="none" w:sz="0" w:space="0" w:color="auto"/>
        <w:bottom w:val="none" w:sz="0" w:space="0" w:color="auto"/>
        <w:right w:val="none" w:sz="0" w:space="0" w:color="auto"/>
      </w:divBdr>
    </w:div>
    <w:div w:id="384260930">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492839187">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60874332">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682246563">
      <w:bodyDiv w:val="1"/>
      <w:marLeft w:val="0"/>
      <w:marRight w:val="0"/>
      <w:marTop w:val="0"/>
      <w:marBottom w:val="0"/>
      <w:divBdr>
        <w:top w:val="none" w:sz="0" w:space="0" w:color="auto"/>
        <w:left w:val="none" w:sz="0" w:space="0" w:color="auto"/>
        <w:bottom w:val="none" w:sz="0" w:space="0" w:color="auto"/>
        <w:right w:val="none" w:sz="0" w:space="0" w:color="auto"/>
      </w:divBdr>
    </w:div>
    <w:div w:id="719669154">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797917332">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864099825">
      <w:bodyDiv w:val="1"/>
      <w:marLeft w:val="0"/>
      <w:marRight w:val="0"/>
      <w:marTop w:val="0"/>
      <w:marBottom w:val="0"/>
      <w:divBdr>
        <w:top w:val="none" w:sz="0" w:space="0" w:color="auto"/>
        <w:left w:val="none" w:sz="0" w:space="0" w:color="auto"/>
        <w:bottom w:val="none" w:sz="0" w:space="0" w:color="auto"/>
        <w:right w:val="none" w:sz="0" w:space="0" w:color="auto"/>
      </w:divBdr>
    </w:div>
    <w:div w:id="920680895">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75069851">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241068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73642172">
      <w:bodyDiv w:val="1"/>
      <w:marLeft w:val="0"/>
      <w:marRight w:val="0"/>
      <w:marTop w:val="0"/>
      <w:marBottom w:val="0"/>
      <w:divBdr>
        <w:top w:val="none" w:sz="0" w:space="0" w:color="auto"/>
        <w:left w:val="none" w:sz="0" w:space="0" w:color="auto"/>
        <w:bottom w:val="none" w:sz="0" w:space="0" w:color="auto"/>
        <w:right w:val="none" w:sz="0" w:space="0" w:color="auto"/>
      </w:divBdr>
    </w:div>
    <w:div w:id="1181821484">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32077712">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7791150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1269599">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11734383">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21620716">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18219159">
      <w:bodyDiv w:val="1"/>
      <w:marLeft w:val="0"/>
      <w:marRight w:val="0"/>
      <w:marTop w:val="0"/>
      <w:marBottom w:val="0"/>
      <w:divBdr>
        <w:top w:val="none" w:sz="0" w:space="0" w:color="auto"/>
        <w:left w:val="none" w:sz="0" w:space="0" w:color="auto"/>
        <w:bottom w:val="none" w:sz="0" w:space="0" w:color="auto"/>
        <w:right w:val="none" w:sz="0" w:space="0" w:color="auto"/>
      </w:divBdr>
    </w:div>
    <w:div w:id="1623347312">
      <w:bodyDiv w:val="1"/>
      <w:marLeft w:val="0"/>
      <w:marRight w:val="0"/>
      <w:marTop w:val="0"/>
      <w:marBottom w:val="0"/>
      <w:divBdr>
        <w:top w:val="none" w:sz="0" w:space="0" w:color="auto"/>
        <w:left w:val="none" w:sz="0" w:space="0" w:color="auto"/>
        <w:bottom w:val="none" w:sz="0" w:space="0" w:color="auto"/>
        <w:right w:val="none" w:sz="0" w:space="0" w:color="auto"/>
      </w:divBdr>
    </w:div>
    <w:div w:id="1623851026">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62193687">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06058548">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53159335">
      <w:bodyDiv w:val="1"/>
      <w:marLeft w:val="0"/>
      <w:marRight w:val="0"/>
      <w:marTop w:val="0"/>
      <w:marBottom w:val="0"/>
      <w:divBdr>
        <w:top w:val="none" w:sz="0" w:space="0" w:color="auto"/>
        <w:left w:val="none" w:sz="0" w:space="0" w:color="auto"/>
        <w:bottom w:val="none" w:sz="0" w:space="0" w:color="auto"/>
        <w:right w:val="none" w:sz="0" w:space="0" w:color="auto"/>
      </w:divBdr>
    </w:div>
    <w:div w:id="1764303995">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268894">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89157080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22180167">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037581970">
      <w:bodyDiv w:val="1"/>
      <w:marLeft w:val="0"/>
      <w:marRight w:val="0"/>
      <w:marTop w:val="0"/>
      <w:marBottom w:val="0"/>
      <w:divBdr>
        <w:top w:val="none" w:sz="0" w:space="0" w:color="auto"/>
        <w:left w:val="none" w:sz="0" w:space="0" w:color="auto"/>
        <w:bottom w:val="none" w:sz="0" w:space="0" w:color="auto"/>
        <w:right w:val="none" w:sz="0" w:space="0" w:color="auto"/>
      </w:divBdr>
    </w:div>
    <w:div w:id="2058115831">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 w:id="21213361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16CD4-563B-45F6-BB9B-2C059E79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Pages>
  <Words>216</Words>
  <Characters>1236</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42</cp:revision>
  <dcterms:created xsi:type="dcterms:W3CDTF">2017-12-07T08:11:00Z</dcterms:created>
  <dcterms:modified xsi:type="dcterms:W3CDTF">2018-04-01T03:14:00Z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