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>二次侧整流, DC/DC转换，逆流保护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最大反向电压，正向峰值浪涌电流, 反向漏电流, 平均正向整流电流, 正向峰值电压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 xml:space="preserve"/>
            </w:r>
          </w:p>
        </w:tc>
      </w:tr>
    </w:tbl>
    <w:p w:rsidR="007526F6" w:rsidRDefault="007526F6" w:rsidP="00B123AA">
      <w:pPr>
        <w:rPr>
          <w:rFonts w:hint="eastAsia"/>
        </w:rPr>
      </w:pPr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BE" w:rsidRDefault="00D60DBE" w:rsidP="00073650">
      <w:r>
        <w:separator/>
      </w:r>
    </w:p>
  </w:endnote>
  <w:endnote w:type="continuationSeparator" w:id="0">
    <w:p w:rsidR="00D60DBE" w:rsidRDefault="00D60DB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BE" w:rsidRDefault="00D60DBE" w:rsidP="00073650">
      <w:r>
        <w:separator/>
      </w:r>
    </w:p>
  </w:footnote>
  <w:footnote w:type="continuationSeparator" w:id="0">
    <w:p w:rsidR="00D60DBE" w:rsidRDefault="00D60DB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123AA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0DBE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26E8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2018-06-17T09:10:00Z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