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DD0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bookmarkStart w:id="0" w:name="OLE_LINK4"/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lang w:val="en-US" w:eastAsia="zh-CN"/>
          <w14:textFill>
            <w14:solidFill>
              <w14:schemeClr w14:val="tx1"/>
            </w14:solidFill>
          </w14:textFill>
        </w:rPr>
        <w:t>红色尖兵勇当先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 xml:space="preserve"> 自立自强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lang w:val="en-US" w:eastAsia="zh-CN"/>
          <w14:textFill>
            <w14:solidFill>
              <w14:schemeClr w14:val="tx1"/>
            </w14:solidFill>
          </w14:textFill>
        </w:rPr>
        <w:t>攻难关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：</w:t>
      </w:r>
    </w:p>
    <w:p w14:paraId="11D44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lang w:val="en-US" w:eastAsia="zh-CN"/>
          <w14:textFill>
            <w14:solidFill>
              <w14:schemeClr w14:val="tx1"/>
            </w14:solidFill>
          </w14:textFill>
        </w:rPr>
        <w:t>高质量党建赋能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国家AI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lang w:val="en-US" w:eastAsia="zh-CN"/>
          <w14:textFill>
            <w14:solidFill>
              <w14:schemeClr w14:val="tx1"/>
            </w14:solidFill>
          </w14:textFill>
        </w:rPr>
        <w:t>重大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战略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lang w:val="en-US" w:eastAsia="zh-CN"/>
          <w14:textFill>
            <w14:solidFill>
              <w14:schemeClr w14:val="tx1"/>
            </w14:solidFill>
          </w14:textFill>
        </w:rPr>
        <w:t>项目落地</w:t>
      </w:r>
    </w:p>
    <w:bookmarkEnd w:id="0"/>
    <w:p w14:paraId="37B9C2D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960" w:firstLineChars="300"/>
        <w:textAlignment w:val="auto"/>
        <w:outlineLvl w:val="9"/>
        <w:rPr>
          <w:rFonts w:hint="eastAsia" w:ascii="楷体_GB2312" w:hAnsi="楷体_GB2312" w:eastAsia="楷体_GB2312" w:cs="楷体_GB2312"/>
          <w:bCs/>
          <w:color w:val="000000" w:themeColor="text1"/>
          <w:sz w:val="32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_GB2312" w:hAnsi="楷体_GB2312" w:eastAsia="楷体_GB2312" w:cs="楷体_GB2312"/>
          <w:color w:val="000000" w:themeColor="text1"/>
          <w:sz w:val="32"/>
          <w:u w:val="none"/>
          <w:lang w:val="en-US" w:eastAsia="zh-CN"/>
          <w14:textFill>
            <w14:solidFill>
              <w14:schemeClr w14:val="tx1"/>
            </w14:solidFill>
          </w14:textFill>
        </w:rPr>
        <w:t>例类别</w:t>
      </w:r>
      <w:r>
        <w:rPr>
          <w:rFonts w:hint="eastAsia" w:ascii="楷体_GB2312" w:hAnsi="楷体_GB2312" w:eastAsia="楷体_GB2312" w:cs="楷体_GB2312"/>
          <w:color w:val="000000" w:themeColor="text1"/>
          <w:sz w:val="32"/>
          <w:u w:val="none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楷体_GB2312" w:hAnsi="楷体_GB2312" w:eastAsia="楷体_GB2312" w:cs="楷体_GB2312"/>
          <w:bCs/>
          <w:color w:val="000000" w:themeColor="text1"/>
          <w:sz w:val="32"/>
          <w:u w:val="none"/>
          <w:lang w:eastAsia="zh-CN"/>
          <w14:textFill>
            <w14:solidFill>
              <w14:schemeClr w14:val="tx1"/>
            </w14:solidFill>
          </w14:textFill>
        </w:rPr>
        <w:t>□发展提质</w:t>
      </w:r>
      <w:r>
        <w:rPr>
          <w:rFonts w:hint="eastAsia" w:ascii="楷体_GB2312" w:hAnsi="楷体_GB2312" w:eastAsia="楷体_GB2312" w:cs="楷体_GB2312"/>
          <w:bCs/>
          <w:color w:val="000000" w:themeColor="text1"/>
          <w:sz w:val="32"/>
          <w:u w:val="none"/>
          <w14:textFill>
            <w14:solidFill>
              <w14:schemeClr w14:val="tx1"/>
            </w14:solidFill>
          </w14:textFill>
        </w:rPr>
        <w:t xml:space="preserve">  □</w:t>
      </w:r>
      <w:r>
        <w:rPr>
          <w:rFonts w:hint="eastAsia" w:ascii="楷体_GB2312" w:hAnsi="楷体_GB2312" w:eastAsia="楷体_GB2312" w:cs="楷体_GB2312"/>
          <w:bCs/>
          <w:color w:val="000000" w:themeColor="text1"/>
          <w:sz w:val="32"/>
          <w:u w:val="none"/>
          <w:lang w:val="en-US" w:eastAsia="zh-CN"/>
          <w14:textFill>
            <w14:solidFill>
              <w14:schemeClr w14:val="tx1"/>
            </w14:solidFill>
          </w14:textFill>
        </w:rPr>
        <w:t>正风增效</w:t>
      </w:r>
      <w:r>
        <w:rPr>
          <w:rFonts w:hint="eastAsia" w:ascii="楷体_GB2312" w:hAnsi="楷体_GB2312" w:eastAsia="楷体_GB2312" w:cs="楷体_GB2312"/>
          <w:bCs/>
          <w:color w:val="000000" w:themeColor="text1"/>
          <w:sz w:val="32"/>
          <w:u w:val="non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楷体_GB2312" w:hAnsi="楷体_GB2312" w:eastAsia="楷体_GB2312" w:cs="楷体_GB2312"/>
          <w:bCs/>
          <w:color w:val="000000" w:themeColor="text1"/>
          <w:sz w:val="32"/>
          <w:u w:val="none"/>
          <w14:textFill>
            <w14:solidFill>
              <w14:schemeClr w14:val="tx1"/>
            </w14:solidFill>
          </w14:textFill>
        </w:rPr>
        <w:sym w:font="Wingdings 2" w:char="0052"/>
      </w:r>
      <w:r>
        <w:rPr>
          <w:rFonts w:hint="eastAsia" w:ascii="楷体_GB2312" w:hAnsi="楷体_GB2312" w:eastAsia="楷体_GB2312" w:cs="楷体_GB2312"/>
          <w:bCs/>
          <w:color w:val="000000" w:themeColor="text1"/>
          <w:sz w:val="32"/>
          <w:u w:val="none"/>
          <w:lang w:val="en-US" w:eastAsia="zh-CN"/>
          <w14:textFill>
            <w14:solidFill>
              <w14:schemeClr w14:val="tx1"/>
            </w14:solidFill>
          </w14:textFill>
        </w:rPr>
        <w:t>党建赋能</w:t>
      </w:r>
    </w:p>
    <w:p w14:paraId="6A6AEE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960" w:firstLineChars="300"/>
        <w:textAlignment w:val="auto"/>
        <w:outlineLvl w:val="9"/>
        <w:rPr>
          <w:rFonts w:hint="eastAsia" w:ascii="楷体_GB2312" w:hAnsi="楷体_GB2312" w:eastAsia="楷体_GB2312" w:cs="楷体_GB2312"/>
          <w:bCs/>
          <w:color w:val="000000" w:themeColor="text1"/>
          <w:sz w:val="32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tbl>
      <w:tblPr>
        <w:tblStyle w:val="4"/>
        <w:tblW w:w="89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6701"/>
      </w:tblGrid>
      <w:tr w14:paraId="3F251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atLeast"/>
        </w:trPr>
        <w:tc>
          <w:tcPr>
            <w:tcW w:w="2256" w:type="dxa"/>
            <w:noWrap w:val="0"/>
            <w:vAlign w:val="center"/>
          </w:tcPr>
          <w:p w14:paraId="69D985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line="580" w:lineRule="exact"/>
              <w:jc w:val="center"/>
              <w:textAlignment w:val="auto"/>
              <w:rPr>
                <w:rFonts w:hint="eastAsia" w:ascii="Times New Roman" w:hAnsi="Times New Roman" w:eastAsia="仿宋_GB2312" w:cs="仿宋_GB2312"/>
                <w:bCs/>
                <w:color w:val="000000"/>
                <w:spacing w:val="0"/>
                <w:sz w:val="32"/>
                <w:szCs w:val="3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Cs/>
                <w:color w:val="000000"/>
                <w:spacing w:val="0"/>
                <w:sz w:val="32"/>
                <w:szCs w:val="32"/>
                <w:highlight w:val="none"/>
                <w:lang w:val="en-US" w:eastAsia="zh-CN"/>
              </w:rPr>
              <w:t>项目简介</w:t>
            </w:r>
          </w:p>
          <w:p w14:paraId="5F4D06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line="580" w:lineRule="exact"/>
              <w:jc w:val="both"/>
              <w:textAlignment w:val="auto"/>
              <w:rPr>
                <w:rFonts w:hint="eastAsia" w:ascii="Times New Roman" w:hAnsi="Times New Roman" w:eastAsia="仿宋_GB2312" w:cs="仿宋_GB2312"/>
                <w:bCs/>
                <w:color w:val="000000"/>
                <w:spacing w:val="0"/>
                <w:sz w:val="32"/>
                <w:szCs w:val="3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Cs/>
                <w:color w:val="000000"/>
                <w:spacing w:val="0"/>
                <w:sz w:val="32"/>
                <w:szCs w:val="32"/>
                <w:highlight w:val="none"/>
                <w:lang w:val="en-US" w:eastAsia="zh-CN"/>
              </w:rPr>
              <w:t>（400字以内）</w:t>
            </w:r>
          </w:p>
        </w:tc>
        <w:tc>
          <w:tcPr>
            <w:tcW w:w="6701" w:type="dxa"/>
            <w:noWrap w:val="0"/>
            <w:vAlign w:val="center"/>
          </w:tcPr>
          <w:p w14:paraId="67CB95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640" w:firstLineChars="200"/>
              <w:textAlignment w:val="auto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spacing w:val="0"/>
                <w:sz w:val="32"/>
                <w:szCs w:val="32"/>
                <w:shd w:val="clear" w:fill="FCFCFC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spacing w:val="0"/>
                <w:sz w:val="32"/>
                <w:szCs w:val="32"/>
                <w:shd w:val="clear" w:fill="FCFCFC"/>
                <w:lang w:val="en-US" w:eastAsia="zh-CN"/>
              </w:rPr>
              <w:t>紧随《国务院关于深入实施“人工智能+”行动的意见》印发，深圳再度彰显出国家战略前沿的主动担当与先发优势。早在政策出台之前，深圳便</w:t>
            </w:r>
            <w:bookmarkStart w:id="12" w:name="_GoBack"/>
            <w:bookmarkEnd w:id="12"/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spacing w:val="0"/>
                <w:sz w:val="32"/>
                <w:szCs w:val="32"/>
                <w:shd w:val="clear" w:fill="FCFCFC"/>
                <w:lang w:val="en-US" w:eastAsia="zh-CN"/>
              </w:rPr>
              <w:t>紧扣国家所需、立足长远谋划，在人工智能领域率先探索、系统布局。面对国家人工智能百亿级重大项目“1个月申报”的紧急攻坚，深圳国家高技术产业创新中心党委坚决践行“两个维护”，以高质量党建</w:t>
            </w:r>
            <w:r>
              <w:rPr>
                <w:rFonts w:hint="eastAsia" w:ascii="仿宋_GB2312" w:hAnsi="仿宋_GB2312" w:eastAsia="仿宋_GB2312" w:cs="仿宋_GB2312"/>
                <w:sz w:val="32"/>
                <w:szCs w:val="32"/>
                <w:shd w:val="clear" w:fill="FCFCFC"/>
              </w:rPr>
              <w:t>统领攻坚全程，将组织优势转化为制胜优势，交出了“党建强、科技兴”的硬核答卷。</w:t>
            </w:r>
          </w:p>
          <w:p w14:paraId="426936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640" w:firstLineChars="200"/>
              <w:textAlignment w:val="auto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spacing w:val="0"/>
                <w:sz w:val="32"/>
                <w:szCs w:val="32"/>
                <w:shd w:val="clear" w:fill="FCFCFC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shd w:val="clear" w:fill="FCFCFC"/>
              </w:rPr>
              <w:t>党委精准破解“定力不足、壁垒阻碍、协同乏力”三大难题，</w:t>
            </w: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spacing w:val="0"/>
                <w:sz w:val="32"/>
                <w:szCs w:val="32"/>
                <w:shd w:val="clear" w:fill="FCFCFC"/>
                <w:lang w:val="en-US" w:eastAsia="zh-CN"/>
              </w:rPr>
              <w:t>创新构建</w:t>
            </w:r>
            <w:r>
              <w:rPr>
                <w:rFonts w:hint="eastAsia" w:ascii="仿宋_GB2312" w:hAnsi="仿宋_GB2312" w:eastAsia="仿宋_GB2312" w:cs="仿宋_GB2312"/>
                <w:sz w:val="32"/>
                <w:szCs w:val="32"/>
                <w:shd w:val="clear" w:fill="FCFCFC"/>
              </w:rPr>
              <w:t>“铸魂、强基、聚力”三链模式：</w:t>
            </w: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spacing w:val="0"/>
                <w:sz w:val="32"/>
                <w:szCs w:val="32"/>
                <w:shd w:val="clear" w:fill="FCFCFC"/>
                <w:lang w:val="en-US" w:eastAsia="zh-CN"/>
              </w:rPr>
              <w:t>以“理论武装+数据导航+闭环决策”筑牢铸魂链，将习近平总书记重要论述深度融入DIKI平台，转化为“每日一习语”，明确“全栈自主可控”技术路线，</w:t>
            </w:r>
            <w:r>
              <w:rPr>
                <w:rFonts w:hint="eastAsia" w:ascii="仿宋_GB2312" w:hAnsi="仿宋_GB2312" w:eastAsia="仿宋_GB2312" w:cs="仿宋_GB2312"/>
                <w:sz w:val="32"/>
                <w:szCs w:val="32"/>
                <w:shd w:val="clear" w:fill="FCFCFC"/>
              </w:rPr>
              <w:t>把稳战略方向；</w:t>
            </w: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spacing w:val="0"/>
                <w:sz w:val="32"/>
                <w:szCs w:val="32"/>
                <w:shd w:val="clear" w:fill="FCFCFC"/>
                <w:lang w:val="en-US" w:eastAsia="zh-CN"/>
              </w:rPr>
              <w:t>以“矩阵式项目组+动态任务池”重塑强基链，12人党员突击队实行“3班倒24小时响应”，决策效率提升70%、响应提速3倍，锻造“听党指挥、能打硬仗”的“红色尖兵”；以“央地创新联合体”构建聚力链，联动华为等主体，破解“算力分散”等</w:t>
            </w:r>
            <w:r>
              <w:rPr>
                <w:rFonts w:hint="eastAsia" w:ascii="仿宋_GB2312" w:hAnsi="仿宋_GB2312" w:eastAsia="仿宋_GB2312" w:cs="仿宋_GB2312"/>
                <w:sz w:val="32"/>
                <w:szCs w:val="32"/>
                <w:shd w:val="clear" w:fill="FCFCFC"/>
              </w:rPr>
              <w:t>29项关键问题</w:t>
            </w: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spacing w:val="0"/>
                <w:sz w:val="32"/>
                <w:szCs w:val="32"/>
                <w:shd w:val="clear" w:fill="FCFCFC"/>
                <w:lang w:val="en-US" w:eastAsia="zh-CN"/>
              </w:rPr>
              <w:t>，创下央地协同“72小时响应”的“深圳速度”。</w:t>
            </w:r>
          </w:p>
          <w:p w14:paraId="1B32A1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640" w:firstLineChars="200"/>
              <w:textAlignment w:val="auto"/>
              <w:rPr>
                <w:rFonts w:hint="eastAsia" w:ascii="Times New Roman" w:hAnsi="Times New Roman" w:eastAsia="仿宋_GB2312" w:cs="仿宋_GB2312"/>
                <w:bCs/>
                <w:color w:val="000000"/>
                <w:spacing w:val="0"/>
                <w:sz w:val="32"/>
                <w:szCs w:val="3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spacing w:val="0"/>
                <w:sz w:val="32"/>
                <w:szCs w:val="32"/>
                <w:shd w:val="clear" w:fill="FCFCFC"/>
                <w:lang w:val="en-US" w:eastAsia="zh-CN"/>
              </w:rPr>
              <w:t>项目3个月完成从谋划到国家批复立项（总投资近百亿），</w:t>
            </w: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spacing w:val="0"/>
                <w:sz w:val="30"/>
                <w:szCs w:val="30"/>
                <w:shd w:val="clear" w:fill="FCFCFC"/>
                <w:lang w:val="en-US" w:eastAsia="zh-CN"/>
              </w:rPr>
              <w:t>助力</w:t>
            </w: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spacing w:val="0"/>
                <w:sz w:val="32"/>
                <w:szCs w:val="32"/>
                <w:shd w:val="clear" w:fill="FCFCFC"/>
                <w:lang w:val="en-US" w:eastAsia="zh-CN"/>
              </w:rPr>
              <w:t>深圳跃升为全球AI创新策源地；淬炼出一支牵头16项国家级课题、获国家领导人批示4篇的红色科技尖兵队伍，助推大湾区跻身国家集成电路产业“第三极”。项目探索了高质量党建赋能科技创新的实践路径，形成了可复制推广的制度性成果，为重大科技项目攻关提供了鲜活的“深圳样本”。</w:t>
            </w:r>
          </w:p>
        </w:tc>
      </w:tr>
    </w:tbl>
    <w:p w14:paraId="3E5EF4A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960" w:firstLineChars="300"/>
        <w:textAlignment w:val="auto"/>
        <w:outlineLvl w:val="9"/>
        <w:rPr>
          <w:rFonts w:hint="eastAsia" w:ascii="楷体_GB2312" w:hAnsi="楷体_GB2312" w:eastAsia="楷体_GB2312" w:cs="楷体_GB2312"/>
          <w:bCs/>
          <w:color w:val="000000" w:themeColor="text1"/>
          <w:sz w:val="32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2B963F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方正小标宋简体" w:hAnsi="方正小标宋简体" w:eastAsia="方正小标宋简体" w:cs="方正小标宋简体"/>
          <w:color w:val="000000" w:themeColor="text1"/>
          <w:sz w:val="44"/>
          <w:szCs w:val="44"/>
          <w:lang w:val="en-US" w:eastAsia="zh-CN"/>
          <w14:textFill>
            <w14:solidFill>
              <w14:schemeClr w14:val="tx1"/>
            </w14:solidFill>
          </w14:textFill>
        </w:rPr>
      </w:pPr>
    </w:p>
    <w:p w14:paraId="317AAD6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项目背景</w:t>
      </w:r>
    </w:p>
    <w:p w14:paraId="1ABB02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i w:val="0"/>
          <w:caps w:val="0"/>
          <w:color w:val="000000" w:themeColor="text1"/>
          <w:spacing w:val="0"/>
          <w:sz w:val="32"/>
          <w:szCs w:val="32"/>
          <w:shd w:val="clear" w:fill="FFFFFF"/>
          <w14:textFill>
            <w14:solidFill>
              <w14:schemeClr w14:val="tx1"/>
            </w14:solidFill>
          </w14:textFill>
        </w:rPr>
        <w:t>习近平总书记指出，</w:t>
      </w:r>
      <w:r>
        <w:rPr>
          <w:rFonts w:hint="eastAsia" w:ascii="仿宋_GB2312" w:hAnsi="仿宋_GB2312" w:eastAsia="仿宋_GB2312" w:cs="仿宋_GB2312"/>
          <w:i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高质量发展需要高质量党建来引领。人工智能发展事关国家战略全局，是实现高水平科技自立自强、建设科技强国</w:t>
      </w:r>
      <w:r>
        <w:rPr>
          <w:rFonts w:hint="eastAsia" w:ascii="仿宋_GB2312" w:hAnsi="仿宋_GB2312" w:eastAsia="仿宋_GB2312" w:cs="仿宋_GB2312"/>
          <w:i w:val="0"/>
          <w:caps w:val="0"/>
          <w:color w:val="000000" w:themeColor="text1"/>
          <w:spacing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仿宋_GB2312" w:hAnsi="仿宋_GB2312" w:eastAsia="仿宋_GB2312" w:cs="仿宋_GB2312"/>
          <w:i w:val="0"/>
          <w:caps w:val="0"/>
          <w:color w:val="000000" w:themeColor="text1"/>
          <w:spacing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实现高质量发展的</w:t>
      </w:r>
      <w:r>
        <w:rPr>
          <w:rFonts w:hint="eastAsia" w:ascii="仿宋_GB2312" w:hAnsi="仿宋_GB2312" w:eastAsia="仿宋_GB2312" w:cs="仿宋_GB2312"/>
          <w:i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重要举措。</w:t>
      </w:r>
      <w:bookmarkStart w:id="1" w:name="OLE_LINK1"/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广东省委“1310”具体部署</w:t>
      </w:r>
      <w:bookmarkEnd w:id="1"/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明确将高水平科技自立自强作为高质量发展的核心支撑，明确提出“在建设更具国际竞争力的现代化产业体系上取得新突破”。深圳作为先行示范区，</w:t>
      </w:r>
      <w:bookmarkStart w:id="2" w:name="OLE_LINK2"/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肩负突破“卡脖子”技术</w:t>
      </w:r>
      <w:bookmarkEnd w:id="2"/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难题、实现科技自立自强的重大政治使命。</w:t>
      </w:r>
    </w:p>
    <w:p w14:paraId="710075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2024年春节前夕，一项关乎国家人工智能战略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安全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的百亿级重大项目申报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任务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紧急下达，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时限仅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1个月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。深圳国家高技术产业创新中心（简称“深国创中心”）党委以高度的政治责任感，将项目攻坚作为检验“两个维护”政治担当的试金石，作为落实</w:t>
      </w:r>
      <w:bookmarkStart w:id="3" w:name="OLE_LINK3"/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广东省委“1310”</w:t>
      </w:r>
      <w:bookmarkEnd w:id="3"/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具体部署的核心战场。面对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标准极高、时间极紧、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竞争极其激烈而深圳起步最晚的严峻形势，深国创中心党委坚持问题导向，</w:t>
      </w:r>
      <w:r>
        <w:rPr>
          <w:rStyle w:val="6"/>
          <w:rFonts w:hint="eastAsia" w:ascii="仿宋_GB2312" w:hAnsi="仿宋_GB2312" w:eastAsia="仿宋_GB2312" w:cs="仿宋_GB2312"/>
          <w:b w:val="0"/>
          <w:bCs/>
          <w:i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找准</w:t>
      </w:r>
      <w:bookmarkStart w:id="4" w:name="OLE_LINK6"/>
      <w:r>
        <w:rPr>
          <w:rStyle w:val="6"/>
          <w:rFonts w:hint="eastAsia" w:ascii="仿宋_GB2312" w:hAnsi="仿宋_GB2312" w:eastAsia="仿宋_GB2312" w:cs="仿宋_GB2312"/>
          <w:b w:val="0"/>
          <w:bCs/>
          <w:i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高质量党建引领高质量发展</w:t>
      </w:r>
      <w:bookmarkEnd w:id="4"/>
      <w:r>
        <w:rPr>
          <w:rStyle w:val="6"/>
          <w:rFonts w:hint="eastAsia" w:ascii="仿宋_GB2312" w:hAnsi="仿宋_GB2312" w:eastAsia="仿宋_GB2312" w:cs="仿宋_GB2312"/>
          <w:b w:val="0"/>
          <w:bCs/>
          <w:i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的着力点</w:t>
      </w:r>
      <w:r>
        <w:rPr>
          <w:rStyle w:val="6"/>
          <w:rFonts w:hint="eastAsia" w:ascii="仿宋_GB2312" w:hAnsi="仿宋_GB2312" w:eastAsia="仿宋_GB2312" w:cs="仿宋_GB2312"/>
          <w:b w:val="0"/>
          <w:bCs/>
          <w:i w:val="0"/>
          <w:caps w:val="0"/>
          <w:color w:val="000000" w:themeColor="text1"/>
          <w:spacing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Style w:val="6"/>
          <w:rFonts w:hint="eastAsia" w:ascii="仿宋_GB2312" w:hAnsi="仿宋_GB2312" w:eastAsia="仿宋_GB2312" w:cs="仿宋_GB2312"/>
          <w:b w:val="0"/>
          <w:bCs/>
          <w:i w:val="0"/>
          <w:caps w:val="0"/>
          <w:color w:val="000000" w:themeColor="text1"/>
          <w:spacing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以改革创新精神提升党建质量，成功破解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科层制响应慢、创新主体分散、技术路线摇摆三大难题，推动深圳首个百亿级“人工智能国家级重大项目”高效落地。</w:t>
      </w:r>
    </w:p>
    <w:p w14:paraId="4F4B84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二、主要做法</w:t>
      </w:r>
    </w:p>
    <w:p w14:paraId="0F9A36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5" w:name="OLE_LINK7"/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（一）聚焦“党建怎么抓”</w:t>
      </w: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，</w:t>
      </w:r>
      <w:bookmarkEnd w:id="5"/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打造铸魂链，</w:t>
      </w: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以理论</w:t>
      </w: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伟力</w:t>
      </w: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锚定“自主可控”战略航向</w:t>
      </w: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破解“定力之惑” 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</w:t>
      </w:r>
    </w:p>
    <w:p w14:paraId="438474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面对国家级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AI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重大项目攻关的紧急号令，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深国创中心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党委以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三个表率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为引领，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推动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政治建设与科技攻关深度融合，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构建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理论武装+战时机制+数据赋能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三位一体模式破解战略定力难题。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一是理论武装铸魂定向。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党委班子带头深学细悟</w:t>
      </w:r>
      <w:bookmarkStart w:id="6" w:name="OLE_LINK5"/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习近平总书记“7·29”重要指示精神和关于科技自立自强重要论述</w:t>
      </w:r>
      <w:bookmarkEnd w:id="6"/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，创新“专题研学+现场教学”双模式，开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展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“攻坚战场主题党日”，将“自立自强”具化为12项攻坚指标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和46个关键节点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二是数据导航精准落子。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依托自主研发的DIKI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产业智能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平台，首创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红色云课堂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模块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，设置“每日一习语”微课堂（10分钟音频），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实行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“每周一测试+每月一研讨”积分制，学习积分与项目任务优先级、评优评先直接挂钩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三是闭环决策锚定航向。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通过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DIKI平台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深度整合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全球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AI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产业核心数据与前沿动态，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通过智能分析生成动态产业图谱，经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36次专题研讨精准锚定“全栈自主可控”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产业链上中下游均实现国产化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技术路线，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形成“国家战略引领—科学数据支撑—可行路径保障”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闭环决策链，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确保技术方向始终与党中央决策部署同频共振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，彰显党建引领科技攻坚的独特优势。</w:t>
      </w:r>
    </w:p>
    <w:p w14:paraId="1593F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（二）</w:t>
      </w:r>
      <w:bookmarkStart w:id="7" w:name="OLE_LINK8"/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聚焦“人才怎么</w:t>
      </w: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聚</w:t>
      </w: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打造</w:t>
      </w: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强基链</w:t>
      </w:r>
      <w:bookmarkEnd w:id="7"/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以组织重构</w:t>
      </w: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锻造</w:t>
      </w: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“如臂使指、战之</w:t>
      </w: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必</w:t>
      </w: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胜”的先锋阵地，破解“壁垒之困”</w:t>
      </w:r>
    </w:p>
    <w:p w14:paraId="11534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党委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以打造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“四强”党支部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为抓手，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创新构建以党员突击队为为核心的“矩阵式项目组+动态任务池”战时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机制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彻底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打破部门墙、层级障。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一是尖兵突击打破常规。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组建12人青年党员突击队，签下“完不成任务不撤退”责任状，实行“3班倒24小时响应”，在春节48小时攻坚中完成通常需2周的架构设计，创单日迭代5版方案的速度纪录，锤炼“关键时刻站得出”的党性品格。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二是矩阵管理穿透壁垒。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创新“双纵三横”矩阵式攻坚架构：纵向设立“指挥部（党委）-作战室（支部）-尖兵组（党小组）”三级穿透式指挥链；横向打破6个部门壁垒，按芯片、算法、算力等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技术领域组建12个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动态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攻坚团队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，决策审批压缩70%，响应速度提升3倍。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三是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三维淬火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锻造铁军。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针对青年党员占比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超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60%特点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打造“思想淬炼+专业训练+实战磨炼”三维培养体系；配备“业务+政治”双导师，开展“政治生日忆初心”等12项关爱行动，解决思想困惑187人次；依托DIKI平台建立“闯关式技能图谱”，定制“个性化成长图谱”，推动5名青年成长为方案核心设计师，3人任关键岗位骨干，锻造“听党指挥、能打硬仗”的“红色生力军”。</w:t>
      </w:r>
    </w:p>
    <w:p w14:paraId="325CA7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（三）</w:t>
      </w:r>
      <w:bookmarkStart w:id="8" w:name="OLE_LINK9"/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聚焦“协同怎么干”</w:t>
      </w: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打造</w:t>
      </w: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聚力链</w:t>
      </w:r>
      <w:bookmarkEnd w:id="8"/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以</w:t>
      </w: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链上</w:t>
      </w: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共建</w:t>
      </w: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构建“</w:t>
      </w: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央地创新联合体</w:t>
      </w: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破解“资源整合之难”</w:t>
      </w:r>
    </w:p>
    <w:p w14:paraId="42340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党委深化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“强基工程”，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推动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党组织建在创新链、先锋力量聚在攻关链、服务保障抓在协同链。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一是创新链上铸魂聚力。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与华为、鹏城实验室等开展“铸魂·聚力·攻坚”联建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汇聚涵盖各领域的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100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余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名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顶尖专家“智囊团”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形成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芯片、算力等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领域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20篇高质量专题报告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二是攻坚链上靶向突破。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党员骨干深入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157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家企业“叩门问需”，收集产业痛点113项，解决“算力资源分散”“芯片适配难”等问题29个。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三是服务链上高效协同。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通过联合学习、难题共商、资源互助，构建“党委统揽、支部联动、党员冲锋、各方聚力”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协同体系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与国家发展改革委保持高效协同，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确保方案与国家战略同频共振，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创下央地协同“72小时响应”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的“深圳效率”，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贡献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了国家战略落地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“深圳方案”。</w:t>
      </w:r>
    </w:p>
    <w:p w14:paraId="7012D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三、创新点</w:t>
      </w:r>
    </w:p>
    <w:p w14:paraId="4B0B3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一</w:t>
      </w: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“红云铸魂</w:t>
      </w: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数据导航”战略决策新</w:t>
      </w: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机制</w:t>
      </w:r>
    </w:p>
    <w:p w14:paraId="30A4F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首创将党的创新理论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与DIKI平台深度融合的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科技决策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新模式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。在DIKI平台嵌入“红色云课堂”，创新性拆解习近平总书记关于科技自立自强重要论述为“每日一习语”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微课程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，建立“开机弹窗学习-答题积分激励-晋阶认证”闭环系统，实现党的理论直达攻坚一线。</w:t>
      </w:r>
      <w:r>
        <w:rPr>
          <w:rFonts w:hint="eastAsia" w:ascii="仿宋_GB2312" w:hAnsi="仿宋_GB2312" w:eastAsia="仿宋_GB2312" w:cs="仿宋_GB2312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构建囊括全球视野</w:t>
      </w:r>
      <w:r>
        <w:rPr>
          <w:rFonts w:hint="eastAsia" w:ascii="仿宋_GB2312" w:hAnsi="仿宋_GB2312" w:eastAsia="仿宋_GB2312" w:cs="仿宋_GB2312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及</w:t>
      </w:r>
      <w:r>
        <w:rPr>
          <w:rFonts w:hint="eastAsia" w:ascii="仿宋_GB2312" w:hAnsi="仿宋_GB2312" w:eastAsia="仿宋_GB2312" w:cs="仿宋_GB2312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全产业链的14大基础要素库与20大行业知识库，</w:t>
      </w:r>
      <w:r>
        <w:rPr>
          <w:rFonts w:hint="eastAsia" w:ascii="仿宋_GB2312" w:hAnsi="仿宋_GB2312" w:eastAsia="仿宋_GB2312" w:cs="仿宋_GB2312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汇聚超百亿条产业数据，生成28个动态产业链图谱，开创了数据驱动的战略决策新模式。该机制将国家战略需求精准转化为可量化、可执行的技术参数，实现了政治要求与技术路线的无缝对接，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从根本上破解了重大项目中战略方向易摇摆、政治要求难落地的痛点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_GB2312" w:hAnsi="仿宋_GB2312" w:eastAsia="仿宋_GB2312" w:cs="仿宋_GB2312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为重大科技项目决策提供了理论武装与数据赋能双轮驱动的新范式。</w:t>
      </w:r>
    </w:p>
    <w:p w14:paraId="4250B6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二</w:t>
      </w: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“揭榜砺剑</w:t>
      </w: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三维淬火”青年育才新路径</w:t>
      </w:r>
    </w:p>
    <w:p w14:paraId="47D3EB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创建重大任务中青年党员淬炼成长系统解决方案。打破传统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科层制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壁垒，</w:t>
      </w:r>
      <w:r>
        <w:rPr>
          <w:rFonts w:hint="eastAsia" w:ascii="仿宋_GB2312" w:hAnsi="仿宋_GB2312" w:eastAsia="仿宋_GB2312" w:cs="仿宋_GB2312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构建“矩阵式项目组+动态任务池”管理体系，依托党员攻坚队实现“跨部门、跨领域、跨层级”灵活组队，决策链路压缩70%，响应</w:t>
      </w:r>
      <w:r>
        <w:rPr>
          <w:rFonts w:hint="eastAsia" w:ascii="仿宋_GB2312" w:hAnsi="仿宋_GB2312" w:eastAsia="仿宋_GB2312" w:cs="仿宋_GB2312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提速</w:t>
      </w:r>
      <w:r>
        <w:rPr>
          <w:rFonts w:hint="eastAsia" w:ascii="仿宋_GB2312" w:hAnsi="仿宋_GB2312" w:eastAsia="仿宋_GB2312" w:cs="仿宋_GB2312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3倍。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创新“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揭榜淬火”机制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，构建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“穿透三级、权责下沉、青年砺剑”敏捷攻坚组织。通过“指挥部-作战室-尖兵队”穿透架构赋予一线党员“战时决策权”，实现青年党员党性修养、业务能力、斗争精神的同步跃升，有效解决了科层制下响应迟滞、青年力量激发不足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问题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，为科技自立自强锻造了一支听党话、跟党走、能打仗、打胜仗的青年“红色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尖兵杯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”队伍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释放出“党建强则攻坚快”的乘数效应。</w:t>
      </w:r>
    </w:p>
    <w:p w14:paraId="12BD0E7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“链上堡垒</w:t>
      </w: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雁阵协同”组织动员新模式</w:t>
      </w:r>
    </w:p>
    <w:p w14:paraId="3D9BAD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深化拓展“强基工程”的组织创新实践。以共同政治目标凝聚多元主体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构建“产业链党建联盟+矩阵式攻坚单元”组织形态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打造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“链上党建共同体”模式。通过“组织共建铸魂、资源平台聚能、难题协同攻坚”，成功破解了央地企研协同难、资源散、合力弱困局，将分散主体高效整合为目标同向、行动同步、资源共享的“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攻坚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雁阵”，实现资源在链上最优配置、力量在链上最大凝聚，为重大任务提供坚实组织保障和资源支撑。</w:t>
      </w:r>
    </w:p>
    <w:p w14:paraId="4A2AA04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rPr>
          <w:rStyle w:val="6"/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Style w:val="6"/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四、成果成效</w:t>
      </w:r>
    </w:p>
    <w:p w14:paraId="6DBCC40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jc w:val="both"/>
        <w:textAlignment w:val="auto"/>
        <w:rPr>
          <w:rStyle w:val="6"/>
          <w:rFonts w:hint="eastAsia" w:ascii="楷体_GB2312" w:hAnsi="楷体_GB2312" w:eastAsia="楷体_GB2312" w:cs="楷体_GB2312"/>
          <w:b w:val="0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Style w:val="6"/>
          <w:rFonts w:hint="eastAsia" w:ascii="楷体_GB2312" w:hAnsi="楷体_GB2312" w:eastAsia="楷体_GB2312" w:cs="楷体_GB2312"/>
          <w:b w:val="0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（一）赋能科技创新，彰显党建引领强大动能</w:t>
      </w:r>
    </w:p>
    <w:p w14:paraId="0C23D6A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jc w:val="both"/>
        <w:textAlignment w:val="auto"/>
        <w:rPr>
          <w:rStyle w:val="6"/>
          <w:rFonts w:hint="eastAsia" w:ascii="仿宋_GB2312" w:hAnsi="仿宋_GB2312" w:eastAsia="仿宋_GB2312" w:cs="仿宋_GB2312"/>
          <w:b w:val="0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Style w:val="6"/>
          <w:rFonts w:hint="eastAsia" w:ascii="仿宋_GB2312" w:hAnsi="仿宋_GB2312" w:eastAsia="仿宋_GB2312" w:cs="仿宋_GB2312"/>
          <w:b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项目团队</w:t>
      </w:r>
      <w:r>
        <w:rPr>
          <w:rStyle w:val="6"/>
          <w:rFonts w:hint="eastAsia" w:ascii="仿宋_GB2312" w:hAnsi="仿宋_GB2312" w:eastAsia="仿宋_GB2312" w:cs="仿宋_GB2312"/>
          <w:b w:val="0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7天完成全球竞合扫描，30天凝练“全栈自主可控”技术路线，</w:t>
      </w:r>
      <w:r>
        <w:rPr>
          <w:rStyle w:val="6"/>
          <w:rFonts w:hint="eastAsia" w:ascii="仿宋_GB2312" w:hAnsi="仿宋_GB2312" w:eastAsia="仿宋_GB2312" w:cs="仿宋_GB2312"/>
          <w:b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3个月实现从谋划到国家立项，</w:t>
      </w:r>
      <w:r>
        <w:rPr>
          <w:rStyle w:val="6"/>
          <w:rFonts w:hint="eastAsia" w:ascii="仿宋_GB2312" w:hAnsi="仿宋_GB2312" w:eastAsia="仿宋_GB2312" w:cs="仿宋_GB2312"/>
          <w:b w:val="0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一次性通过国家发改委评审，推动“深圳方案”写入国家战略施工图，创重大科技项目落地速度新纪录。2025年3月，市长亲自按下项目启动键，不仅点亮深圳建设全球AI创新策源地的新坐标，更激荡起我国突破核心技术封锁的时代强音，</w:t>
      </w:r>
      <w:r>
        <w:rPr>
          <w:rStyle w:val="6"/>
          <w:rFonts w:hint="eastAsia" w:ascii="仿宋_GB2312" w:hAnsi="仿宋_GB2312" w:eastAsia="仿宋_GB2312" w:cs="仿宋_GB2312"/>
          <w:b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开创了新时代</w:t>
      </w:r>
      <w:r>
        <w:rPr>
          <w:rStyle w:val="6"/>
          <w:rFonts w:hint="eastAsia" w:ascii="仿宋_GB2312" w:hAnsi="仿宋_GB2312" w:eastAsia="仿宋_GB2312" w:cs="仿宋_GB2312"/>
          <w:b w:val="0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“党建赋能科技创新”的标杆实践。</w:t>
      </w:r>
    </w:p>
    <w:p w14:paraId="4D90EFC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jc w:val="both"/>
        <w:textAlignment w:val="auto"/>
        <w:rPr>
          <w:rStyle w:val="6"/>
          <w:rFonts w:hint="eastAsia" w:ascii="楷体_GB2312" w:hAnsi="楷体_GB2312" w:eastAsia="楷体_GB2312" w:cs="楷体_GB2312"/>
          <w:b w:val="0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Style w:val="6"/>
          <w:rFonts w:hint="eastAsia" w:ascii="楷体_GB2312" w:hAnsi="楷体_GB2312" w:eastAsia="楷体_GB2312" w:cs="楷体_GB2312"/>
          <w:b w:val="0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（二）勇担国家战略使命，挺起科技自立自强硬脊梁</w:t>
      </w:r>
    </w:p>
    <w:p w14:paraId="62B704A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6"/>
          <w:rFonts w:hint="eastAsia" w:ascii="仿宋_GB2312" w:hAnsi="仿宋_GB2312" w:eastAsia="仿宋_GB2312" w:cs="仿宋_GB2312"/>
          <w:b w:val="0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项目2024年9月获国家发改委立项批复，总投资近100亿元（含中央预算内投资数十亿元），成为国内首个以“全栈自主可控”为核心的国家级AI重大基础设施和国家战略科技力量关键载体，为构建安全可控的AI生态树立标杆。</w:t>
      </w:r>
      <w:r>
        <w:rPr>
          <w:rStyle w:val="6"/>
          <w:rFonts w:hint="eastAsia" w:ascii="仿宋_GB2312" w:hAnsi="仿宋_GB2312" w:eastAsia="仿宋_GB2312" w:cs="仿宋_GB2312"/>
          <w:b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项目</w:t>
      </w:r>
      <w:r>
        <w:rPr>
          <w:rStyle w:val="6"/>
          <w:rFonts w:hint="eastAsia" w:ascii="仿宋_GB2312" w:hAnsi="仿宋_GB2312" w:eastAsia="仿宋_GB2312" w:cs="仿宋_GB2312"/>
          <w:b w:val="0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建成后将</w:t>
      </w:r>
      <w:r>
        <w:rPr>
          <w:rStyle w:val="6"/>
          <w:rFonts w:hint="eastAsia" w:ascii="仿宋_GB2312" w:hAnsi="仿宋_GB2312" w:eastAsia="仿宋_GB2312" w:cs="仿宋_GB2312"/>
          <w:b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通过</w:t>
      </w:r>
      <w:r>
        <w:rPr>
          <w:rStyle w:val="6"/>
          <w:rFonts w:hint="eastAsia" w:ascii="仿宋_GB2312" w:hAnsi="仿宋_GB2312" w:eastAsia="仿宋_GB2312" w:cs="仿宋_GB2312"/>
          <w:b w:val="0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前沿技术突破全方位锻造深圳 AI 新质生产力体系，将加速高端要素集聚，助力深圳打造“全国算力最强城市”与“全球AI创新标杆”，推动深圳成为国际顶尖的人工智能创新高地。</w:t>
      </w:r>
    </w:p>
    <w:p w14:paraId="730549A7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（三）</w:t>
      </w:r>
      <w:r>
        <w:rPr>
          <w:rFonts w:hint="eastAsia" w:ascii="楷体_GB2312" w:hAnsi="楷体_GB2312" w:eastAsia="楷体_GB2312" w:cs="楷体_GB2312"/>
          <w:color w:val="000000" w:themeColor="text1"/>
          <w:kern w:val="0"/>
          <w:sz w:val="32"/>
          <w:szCs w:val="32"/>
          <w:lang w:val="en-US" w:eastAsia="zh-CN" w:bidi="ar"/>
          <w14:textFill>
            <w14:solidFill>
              <w14:schemeClr w14:val="tx1"/>
            </w14:solidFill>
          </w14:textFill>
        </w:rPr>
        <w:t>淬炼红色尖兵</w:t>
      </w: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，书写硬核答卷新篇章  </w:t>
      </w:r>
    </w:p>
    <w:p w14:paraId="11A43F4A">
      <w:pPr>
        <w:spacing w:line="560" w:lineRule="exact"/>
        <w:ind w:firstLine="640" w:firstLineChars="200"/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项目的成功实施，生动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彰显了党员科技工作者在攻坚克难中的先锋模范作用。党委锻造出一支“听党指挥、能打硬仗”的红色科技尖兵队伍。这支队伍锚定“大湾区科技产业协同创新引领者”目标，主动服务国家战略，累计牵头16项国家级课题，4篇专报获得国家领导人批示。深度参与国家战略科技力量建设，有力支撑河套深港科技创新合作区、前海深港现代服务业合作区、光明科学城等国家级战略区域规划，前瞻推动总投资近150亿元的集成电路重大公共服务平台项目纳入国家战略版图，为粤港澳大湾区跻身国家集成电路产业“第三极”构筑关键战略支点，在支撑大湾区国家战略落地上交出硬核答卷。</w:t>
      </w:r>
      <w:bookmarkStart w:id="9" w:name="OLE_LINK12"/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深国创中心党委荣获“广东省先进基层党组织”</w:t>
      </w:r>
      <w:bookmarkStart w:id="10" w:name="OLE_LINK13"/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荣誉称号，深国创中心团总支荣获“广东省青年五四奖章集体”</w:t>
      </w:r>
      <w:bookmarkEnd w:id="10"/>
      <w:bookmarkStart w:id="11" w:name="OLE_LINK14"/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荣誉</w:t>
      </w:r>
      <w:bookmarkEnd w:id="11"/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称号</w:t>
      </w:r>
      <w:bookmarkEnd w:id="9"/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4B05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E189A3"/>
    <w:multiLevelType w:val="singleLevel"/>
    <w:tmpl w:val="8FE189A3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DED8A899"/>
    <w:multiLevelType w:val="singleLevel"/>
    <w:tmpl w:val="DED8A89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316E7F"/>
    <w:rsid w:val="075D1C5E"/>
    <w:rsid w:val="120E64CC"/>
    <w:rsid w:val="27316E7F"/>
    <w:rsid w:val="47226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_Style 5"/>
    <w:basedOn w:val="1"/>
    <w:qFormat/>
    <w:uiPriority w:val="0"/>
    <w:pPr>
      <w:ind w:firstLine="200" w:firstLineChars="200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3658</Words>
  <Characters>3729</Characters>
  <Lines>0</Lines>
  <Paragraphs>0</Paragraphs>
  <TotalTime>62</TotalTime>
  <ScaleCrop>false</ScaleCrop>
  <LinksUpToDate>false</LinksUpToDate>
  <CharactersWithSpaces>3737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2025-09-02T02:48:00Z</dcterms:created>
  <dc:creator>晚晚</dc:creator>
  <cp:lastModifiedBy>晚晚</cp:lastModifiedBy>
  <cp:lastPrinted>2025-09-02T07:58:40Z</cp:lastPrinted>
  <dcterms:modified xsi:type="dcterms:W3CDTF">2025-09-02T08:28:48Z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1C4AEA8AF10349CF92B5E02B72AAC008_11</vt:lpwstr>
  </property>
  <property fmtid="{D5CDD505-2E9C-101B-9397-08002B2CF9AE}" pid="4" name="KSOTemplateDocerSaveRecord">
    <vt:lpwstr>eyJoZGlkIjoiYTc2ZGZiNzZiNDVlOGViOWVmM2JhOTY0NGJkNjUyYzgiLCJ1c2VySWQiOiI5NDU0NjMzMzEifQ==</vt:lpwstr>
  </property>
</Properties>
</file>